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16A91" w14:textId="77777777" w:rsidR="00F21733" w:rsidRDefault="00000000">
      <w:pPr>
        <w:spacing w:after="120"/>
      </w:pPr>
      <w:r>
        <w:rPr>
          <w:b/>
          <w:bCs/>
        </w:rPr>
        <w:t>Supplementary Material</w:t>
      </w:r>
    </w:p>
    <w:p w14:paraId="7F321BC2" w14:textId="77777777" w:rsidR="00F21733" w:rsidRDefault="00000000">
      <w:pPr>
        <w:spacing w:after="60"/>
      </w:pPr>
      <w:r>
        <w:rPr>
          <w:i/>
          <w:iCs/>
        </w:rPr>
        <w:t>Prevalence and Predictors of Mechanical Restraint in Involuntary Patients in an Open-Door Inpatient Psychiatric Unit</w:t>
      </w:r>
    </w:p>
    <w:p w14:paraId="405FCE93" w14:textId="5482A87A" w:rsidR="00F21733" w:rsidRDefault="00000000">
      <w:pPr>
        <w:spacing w:before="240" w:after="120"/>
      </w:pPr>
      <w:r>
        <w:rPr>
          <w:b/>
          <w:bCs/>
        </w:rPr>
        <w:t>Supplementary Table 1. Sensitivity Analysis: Firth Penalized-Likelihood Logistic Regression Predicting Mechanical Restraint, Forcing Intramuscular Medication Into the Model</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1100"/>
        <w:gridCol w:w="1100"/>
        <w:gridCol w:w="1100"/>
        <w:gridCol w:w="1100"/>
        <w:gridCol w:w="2226"/>
      </w:tblGrid>
      <w:tr w:rsidR="00F21733" w14:paraId="28D5234A" w14:textId="77777777">
        <w:tblPrEx>
          <w:tblCellMar>
            <w:top w:w="0" w:type="dxa"/>
            <w:bottom w:w="0" w:type="dxa"/>
          </w:tblCellMar>
        </w:tblPrEx>
        <w:tc>
          <w:tcPr>
            <w:tcW w:w="2400" w:type="dxa"/>
            <w:tcBorders>
              <w:top w:val="single" w:sz="4" w:space="0" w:color="000000"/>
              <w:left w:val="none" w:sz="0" w:space="0" w:color="FFFFFF"/>
              <w:bottom w:val="single" w:sz="4" w:space="0" w:color="000000"/>
              <w:right w:val="none" w:sz="0" w:space="0" w:color="FFFFFF"/>
            </w:tcBorders>
            <w:tcMar>
              <w:top w:w="60" w:type="dxa"/>
              <w:left w:w="100" w:type="dxa"/>
              <w:bottom w:w="60" w:type="dxa"/>
              <w:right w:w="100" w:type="dxa"/>
            </w:tcMar>
          </w:tcPr>
          <w:p w14:paraId="3684A2DD" w14:textId="77777777" w:rsidR="00F21733" w:rsidRDefault="00000000">
            <w:r>
              <w:rPr>
                <w:b/>
                <w:bCs/>
                <w:sz w:val="20"/>
                <w:szCs w:val="20"/>
              </w:rPr>
              <w:t>Variable</w:t>
            </w:r>
          </w:p>
        </w:tc>
        <w:tc>
          <w:tcPr>
            <w:tcW w:w="1100" w:type="dxa"/>
            <w:tcBorders>
              <w:top w:val="single" w:sz="4" w:space="0" w:color="000000"/>
              <w:left w:val="none" w:sz="0" w:space="0" w:color="FFFFFF"/>
              <w:bottom w:val="single" w:sz="4" w:space="0" w:color="000000"/>
              <w:right w:val="none" w:sz="0" w:space="0" w:color="FFFFFF"/>
            </w:tcBorders>
            <w:tcMar>
              <w:top w:w="60" w:type="dxa"/>
              <w:left w:w="100" w:type="dxa"/>
              <w:bottom w:w="60" w:type="dxa"/>
              <w:right w:w="100" w:type="dxa"/>
            </w:tcMar>
          </w:tcPr>
          <w:p w14:paraId="1968BA60" w14:textId="77777777" w:rsidR="00F21733" w:rsidRDefault="00000000">
            <w:pPr>
              <w:jc w:val="center"/>
            </w:pPr>
            <w:r>
              <w:rPr>
                <w:b/>
                <w:bCs/>
                <w:sz w:val="20"/>
                <w:szCs w:val="20"/>
              </w:rPr>
              <w:t>B</w:t>
            </w:r>
          </w:p>
        </w:tc>
        <w:tc>
          <w:tcPr>
            <w:tcW w:w="1100" w:type="dxa"/>
            <w:tcBorders>
              <w:top w:val="single" w:sz="4" w:space="0" w:color="000000"/>
              <w:left w:val="none" w:sz="0" w:space="0" w:color="FFFFFF"/>
              <w:bottom w:val="single" w:sz="4" w:space="0" w:color="000000"/>
              <w:right w:val="none" w:sz="0" w:space="0" w:color="FFFFFF"/>
            </w:tcBorders>
            <w:tcMar>
              <w:top w:w="60" w:type="dxa"/>
              <w:left w:w="100" w:type="dxa"/>
              <w:bottom w:w="60" w:type="dxa"/>
              <w:right w:w="100" w:type="dxa"/>
            </w:tcMar>
          </w:tcPr>
          <w:p w14:paraId="61C2B04B" w14:textId="77777777" w:rsidR="00F21733" w:rsidRDefault="00000000">
            <w:pPr>
              <w:jc w:val="center"/>
            </w:pPr>
            <w:r>
              <w:rPr>
                <w:b/>
                <w:bCs/>
                <w:sz w:val="20"/>
                <w:szCs w:val="20"/>
              </w:rPr>
              <w:t>SE</w:t>
            </w:r>
          </w:p>
        </w:tc>
        <w:tc>
          <w:tcPr>
            <w:tcW w:w="1100" w:type="dxa"/>
            <w:tcBorders>
              <w:top w:val="single" w:sz="4" w:space="0" w:color="000000"/>
              <w:left w:val="none" w:sz="0" w:space="0" w:color="FFFFFF"/>
              <w:bottom w:val="single" w:sz="4" w:space="0" w:color="000000"/>
              <w:right w:val="none" w:sz="0" w:space="0" w:color="FFFFFF"/>
            </w:tcBorders>
            <w:tcMar>
              <w:top w:w="60" w:type="dxa"/>
              <w:left w:w="100" w:type="dxa"/>
              <w:bottom w:w="60" w:type="dxa"/>
              <w:right w:w="100" w:type="dxa"/>
            </w:tcMar>
          </w:tcPr>
          <w:p w14:paraId="04F208AA" w14:textId="77777777" w:rsidR="00F21733" w:rsidRDefault="00000000">
            <w:pPr>
              <w:jc w:val="center"/>
            </w:pPr>
            <w:r>
              <w:rPr>
                <w:b/>
                <w:bCs/>
                <w:sz w:val="20"/>
                <w:szCs w:val="20"/>
              </w:rPr>
              <w:t>p-value</w:t>
            </w:r>
          </w:p>
        </w:tc>
        <w:tc>
          <w:tcPr>
            <w:tcW w:w="1100" w:type="dxa"/>
            <w:tcBorders>
              <w:top w:val="single" w:sz="4" w:space="0" w:color="000000"/>
              <w:left w:val="none" w:sz="0" w:space="0" w:color="FFFFFF"/>
              <w:bottom w:val="single" w:sz="4" w:space="0" w:color="000000"/>
              <w:right w:val="none" w:sz="0" w:space="0" w:color="FFFFFF"/>
            </w:tcBorders>
            <w:tcMar>
              <w:top w:w="60" w:type="dxa"/>
              <w:left w:w="100" w:type="dxa"/>
              <w:bottom w:w="60" w:type="dxa"/>
              <w:right w:w="100" w:type="dxa"/>
            </w:tcMar>
          </w:tcPr>
          <w:p w14:paraId="544305F3" w14:textId="77777777" w:rsidR="00F21733" w:rsidRDefault="00000000">
            <w:pPr>
              <w:jc w:val="center"/>
            </w:pPr>
            <w:r>
              <w:rPr>
                <w:b/>
                <w:bCs/>
                <w:sz w:val="20"/>
                <w:szCs w:val="20"/>
              </w:rPr>
              <w:t>OR</w:t>
            </w:r>
          </w:p>
        </w:tc>
        <w:tc>
          <w:tcPr>
            <w:tcW w:w="2226" w:type="dxa"/>
            <w:tcBorders>
              <w:top w:val="single" w:sz="4" w:space="0" w:color="000000"/>
              <w:left w:val="none" w:sz="0" w:space="0" w:color="FFFFFF"/>
              <w:bottom w:val="single" w:sz="4" w:space="0" w:color="000000"/>
              <w:right w:val="none" w:sz="0" w:space="0" w:color="FFFFFF"/>
            </w:tcBorders>
            <w:tcMar>
              <w:top w:w="60" w:type="dxa"/>
              <w:left w:w="100" w:type="dxa"/>
              <w:bottom w:w="60" w:type="dxa"/>
              <w:right w:w="100" w:type="dxa"/>
            </w:tcMar>
          </w:tcPr>
          <w:p w14:paraId="2A480ADA" w14:textId="77777777" w:rsidR="00F21733" w:rsidRDefault="00000000">
            <w:pPr>
              <w:jc w:val="center"/>
            </w:pPr>
            <w:r>
              <w:rPr>
                <w:b/>
                <w:bCs/>
                <w:sz w:val="20"/>
                <w:szCs w:val="20"/>
              </w:rPr>
              <w:t>95% CI for OR</w:t>
            </w:r>
          </w:p>
        </w:tc>
      </w:tr>
      <w:tr w:rsidR="00F21733" w14:paraId="46E861FD"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13B79C69" w14:textId="77777777" w:rsidR="00F21733" w:rsidRDefault="00000000">
            <w:r>
              <w:rPr>
                <w:sz w:val="20"/>
                <w:szCs w:val="20"/>
              </w:rPr>
              <w:t>Male sex</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05F82969" w14:textId="77777777" w:rsidR="00F21733" w:rsidRDefault="00000000">
            <w:pPr>
              <w:jc w:val="center"/>
            </w:pPr>
            <w:r>
              <w:rPr>
                <w:sz w:val="20"/>
                <w:szCs w:val="20"/>
              </w:rPr>
              <w:t>3.829</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1C595CA4" w14:textId="77777777" w:rsidR="00F21733" w:rsidRDefault="00000000">
            <w:pPr>
              <w:jc w:val="center"/>
            </w:pPr>
            <w:r>
              <w:rPr>
                <w:sz w:val="20"/>
                <w:szCs w:val="20"/>
              </w:rPr>
              <w:t>1.869</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B43BB99" w14:textId="77777777" w:rsidR="00F21733" w:rsidRDefault="00000000">
            <w:pPr>
              <w:jc w:val="center"/>
            </w:pPr>
            <w:r>
              <w:rPr>
                <w:sz w:val="20"/>
                <w:szCs w:val="20"/>
              </w:rPr>
              <w:t>0.015</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080A303" w14:textId="77777777" w:rsidR="00F21733" w:rsidRDefault="00000000">
            <w:pPr>
              <w:jc w:val="center"/>
            </w:pPr>
            <w:r>
              <w:rPr>
                <w:sz w:val="20"/>
                <w:szCs w:val="20"/>
              </w:rPr>
              <w:t>46.00</w:t>
            </w:r>
          </w:p>
        </w:tc>
        <w:tc>
          <w:tcPr>
            <w:tcW w:w="2226"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41FAA067" w14:textId="77777777" w:rsidR="00F21733" w:rsidRDefault="00000000">
            <w:pPr>
              <w:jc w:val="center"/>
            </w:pPr>
            <w:r>
              <w:rPr>
                <w:sz w:val="20"/>
                <w:szCs w:val="20"/>
              </w:rPr>
              <w:t>1.84 – 8785.3</w:t>
            </w:r>
          </w:p>
        </w:tc>
      </w:tr>
      <w:tr w:rsidR="00F21733" w14:paraId="258E8827"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5C040731" w14:textId="77777777" w:rsidR="00F21733" w:rsidRDefault="00000000">
            <w:r>
              <w:rPr>
                <w:sz w:val="20"/>
                <w:szCs w:val="20"/>
              </w:rPr>
              <w:t>Age</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194CC4D" w14:textId="77777777" w:rsidR="00F21733" w:rsidRDefault="00000000">
            <w:pPr>
              <w:jc w:val="center"/>
            </w:pPr>
            <w:r>
              <w:rPr>
                <w:sz w:val="20"/>
                <w:szCs w:val="20"/>
              </w:rPr>
              <w:t>0.065</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46E7638" w14:textId="77777777" w:rsidR="00F21733" w:rsidRDefault="00000000">
            <w:pPr>
              <w:jc w:val="center"/>
            </w:pPr>
            <w:r>
              <w:rPr>
                <w:sz w:val="20"/>
                <w:szCs w:val="20"/>
              </w:rPr>
              <w:t>0.041</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7CBA30C9" w14:textId="77777777" w:rsidR="00F21733" w:rsidRDefault="00000000">
            <w:pPr>
              <w:jc w:val="center"/>
            </w:pPr>
            <w:r>
              <w:rPr>
                <w:sz w:val="20"/>
                <w:szCs w:val="20"/>
              </w:rPr>
              <w:t>0.098</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0DEE852F" w14:textId="77777777" w:rsidR="00F21733" w:rsidRDefault="00000000">
            <w:pPr>
              <w:jc w:val="center"/>
            </w:pPr>
            <w:r>
              <w:rPr>
                <w:sz w:val="20"/>
                <w:szCs w:val="20"/>
              </w:rPr>
              <w:t>1.07</w:t>
            </w:r>
          </w:p>
        </w:tc>
        <w:tc>
          <w:tcPr>
            <w:tcW w:w="2226"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127820C9" w14:textId="77777777" w:rsidR="00F21733" w:rsidRDefault="00000000">
            <w:pPr>
              <w:jc w:val="center"/>
            </w:pPr>
            <w:r>
              <w:rPr>
                <w:sz w:val="20"/>
                <w:szCs w:val="20"/>
              </w:rPr>
              <w:t>0.99 – 1.26</w:t>
            </w:r>
          </w:p>
        </w:tc>
      </w:tr>
      <w:tr w:rsidR="00F21733" w14:paraId="3726F99A"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809FE6E" w14:textId="77777777" w:rsidR="00F21733" w:rsidRDefault="00000000">
            <w:r>
              <w:rPr>
                <w:sz w:val="20"/>
                <w:szCs w:val="20"/>
              </w:rPr>
              <w:t>Schizophrenia</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272BFFD" w14:textId="77777777" w:rsidR="00F21733" w:rsidRDefault="00000000">
            <w:pPr>
              <w:jc w:val="center"/>
            </w:pPr>
            <w:r>
              <w:rPr>
                <w:sz w:val="20"/>
                <w:szCs w:val="20"/>
              </w:rPr>
              <w:t>−0.521</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73C3AAE" w14:textId="77777777" w:rsidR="00F21733" w:rsidRDefault="00000000">
            <w:pPr>
              <w:jc w:val="center"/>
            </w:pPr>
            <w:r>
              <w:rPr>
                <w:sz w:val="20"/>
                <w:szCs w:val="20"/>
              </w:rPr>
              <w:t>2.203</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0CA40306" w14:textId="77777777" w:rsidR="00F21733" w:rsidRDefault="00000000">
            <w:pPr>
              <w:jc w:val="center"/>
            </w:pPr>
            <w:r>
              <w:rPr>
                <w:sz w:val="20"/>
                <w:szCs w:val="20"/>
              </w:rPr>
              <w:t>0.843</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0B14C08B" w14:textId="77777777" w:rsidR="00F21733" w:rsidRDefault="00000000">
            <w:pPr>
              <w:jc w:val="center"/>
            </w:pPr>
            <w:r>
              <w:rPr>
                <w:sz w:val="20"/>
                <w:szCs w:val="20"/>
              </w:rPr>
              <w:t>0.59</w:t>
            </w:r>
          </w:p>
        </w:tc>
        <w:tc>
          <w:tcPr>
            <w:tcW w:w="2226"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362B5349" w14:textId="77777777" w:rsidR="00F21733" w:rsidRDefault="00000000">
            <w:pPr>
              <w:jc w:val="center"/>
            </w:pPr>
            <w:r>
              <w:rPr>
                <w:sz w:val="20"/>
                <w:szCs w:val="20"/>
              </w:rPr>
              <w:t>0.002 – 2332.0</w:t>
            </w:r>
          </w:p>
        </w:tc>
      </w:tr>
      <w:tr w:rsidR="00F21733" w14:paraId="18226A09"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D4259DE" w14:textId="77777777" w:rsidR="00F21733" w:rsidRDefault="00000000">
            <w:r>
              <w:rPr>
                <w:sz w:val="20"/>
                <w:szCs w:val="20"/>
              </w:rPr>
              <w:t>Intramuscular medication</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57E7A15" w14:textId="77777777" w:rsidR="00F21733" w:rsidRDefault="00000000">
            <w:pPr>
              <w:jc w:val="center"/>
            </w:pPr>
            <w:r>
              <w:rPr>
                <w:sz w:val="20"/>
                <w:szCs w:val="20"/>
              </w:rPr>
              <w:t>7.135</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001E48C8" w14:textId="77777777" w:rsidR="00F21733" w:rsidRDefault="00000000">
            <w:pPr>
              <w:jc w:val="center"/>
            </w:pPr>
            <w:r>
              <w:rPr>
                <w:sz w:val="20"/>
                <w:szCs w:val="20"/>
              </w:rPr>
              <w:t>2.191</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4DAC945" w14:textId="77777777" w:rsidR="00F21733" w:rsidRDefault="00000000">
            <w:pPr>
              <w:jc w:val="center"/>
            </w:pPr>
            <w:r>
              <w:rPr>
                <w:sz w:val="20"/>
                <w:szCs w:val="20"/>
              </w:rPr>
              <w:t>&lt;0.001</w:t>
            </w:r>
          </w:p>
        </w:tc>
        <w:tc>
          <w:tcPr>
            <w:tcW w:w="1100"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786820C6" w14:textId="77777777" w:rsidR="00F21733" w:rsidRDefault="00000000">
            <w:pPr>
              <w:jc w:val="center"/>
            </w:pPr>
            <w:r>
              <w:rPr>
                <w:sz w:val="20"/>
                <w:szCs w:val="20"/>
              </w:rPr>
              <w:t>1255.5</w:t>
            </w:r>
          </w:p>
        </w:tc>
        <w:tc>
          <w:tcPr>
            <w:tcW w:w="2226"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4DBE49CF" w14:textId="77777777" w:rsidR="00F21733" w:rsidRDefault="00000000">
            <w:pPr>
              <w:jc w:val="center"/>
            </w:pPr>
            <w:r>
              <w:rPr>
                <w:sz w:val="20"/>
                <w:szCs w:val="20"/>
              </w:rPr>
              <w:t>39.8 – 6.8×10⁶</w:t>
            </w:r>
          </w:p>
        </w:tc>
      </w:tr>
      <w:tr w:rsidR="00F21733" w14:paraId="0F74A9A6" w14:textId="77777777">
        <w:tblPrEx>
          <w:tblCellMar>
            <w:top w:w="0" w:type="dxa"/>
            <w:bottom w:w="0" w:type="dxa"/>
          </w:tblCellMar>
        </w:tblPrEx>
        <w:tc>
          <w:tcPr>
            <w:tcW w:w="2400" w:type="dxa"/>
            <w:tcBorders>
              <w:top w:val="none" w:sz="0" w:space="0" w:color="FFFFFF"/>
              <w:left w:val="none" w:sz="0" w:space="0" w:color="FFFFFF"/>
              <w:bottom w:val="single" w:sz="4" w:space="0" w:color="000000"/>
              <w:right w:val="none" w:sz="0" w:space="0" w:color="FFFFFF"/>
            </w:tcBorders>
            <w:tcMar>
              <w:top w:w="60" w:type="dxa"/>
              <w:left w:w="100" w:type="dxa"/>
              <w:bottom w:w="60" w:type="dxa"/>
              <w:right w:w="100" w:type="dxa"/>
            </w:tcMar>
          </w:tcPr>
          <w:p w14:paraId="7B4A9AF5" w14:textId="77777777" w:rsidR="00F21733" w:rsidRDefault="00000000">
            <w:r>
              <w:rPr>
                <w:sz w:val="20"/>
                <w:szCs w:val="20"/>
              </w:rPr>
              <w:t>Constant</w:t>
            </w:r>
          </w:p>
        </w:tc>
        <w:tc>
          <w:tcPr>
            <w:tcW w:w="1100" w:type="dxa"/>
            <w:tcBorders>
              <w:top w:val="none" w:sz="0" w:space="0" w:color="FFFFFF"/>
              <w:left w:val="none" w:sz="0" w:space="0" w:color="FFFFFF"/>
              <w:bottom w:val="single" w:sz="4" w:space="0" w:color="000000"/>
              <w:right w:val="none" w:sz="0" w:space="0" w:color="FFFFFF"/>
            </w:tcBorders>
            <w:tcMar>
              <w:top w:w="60" w:type="dxa"/>
              <w:left w:w="100" w:type="dxa"/>
              <w:bottom w:w="60" w:type="dxa"/>
              <w:right w:w="100" w:type="dxa"/>
            </w:tcMar>
          </w:tcPr>
          <w:p w14:paraId="782791FA" w14:textId="77777777" w:rsidR="00F21733" w:rsidRDefault="00000000">
            <w:pPr>
              <w:jc w:val="center"/>
            </w:pPr>
            <w:r>
              <w:rPr>
                <w:sz w:val="20"/>
                <w:szCs w:val="20"/>
              </w:rPr>
              <w:t>−10.269</w:t>
            </w:r>
          </w:p>
        </w:tc>
        <w:tc>
          <w:tcPr>
            <w:tcW w:w="1100" w:type="dxa"/>
            <w:tcBorders>
              <w:top w:val="none" w:sz="0" w:space="0" w:color="FFFFFF"/>
              <w:left w:val="none" w:sz="0" w:space="0" w:color="FFFFFF"/>
              <w:bottom w:val="single" w:sz="4" w:space="0" w:color="000000"/>
              <w:right w:val="none" w:sz="0" w:space="0" w:color="FFFFFF"/>
            </w:tcBorders>
            <w:tcMar>
              <w:top w:w="60" w:type="dxa"/>
              <w:left w:w="100" w:type="dxa"/>
              <w:bottom w:w="60" w:type="dxa"/>
              <w:right w:w="100" w:type="dxa"/>
            </w:tcMar>
          </w:tcPr>
          <w:p w14:paraId="21181018" w14:textId="77777777" w:rsidR="00F21733" w:rsidRDefault="00000000">
            <w:pPr>
              <w:jc w:val="center"/>
            </w:pPr>
            <w:r>
              <w:rPr>
                <w:sz w:val="20"/>
                <w:szCs w:val="20"/>
              </w:rPr>
              <w:t>3.901</w:t>
            </w:r>
          </w:p>
        </w:tc>
        <w:tc>
          <w:tcPr>
            <w:tcW w:w="1100" w:type="dxa"/>
            <w:tcBorders>
              <w:top w:val="none" w:sz="0" w:space="0" w:color="FFFFFF"/>
              <w:left w:val="none" w:sz="0" w:space="0" w:color="FFFFFF"/>
              <w:bottom w:val="single" w:sz="4" w:space="0" w:color="000000"/>
              <w:right w:val="none" w:sz="0" w:space="0" w:color="FFFFFF"/>
            </w:tcBorders>
            <w:tcMar>
              <w:top w:w="60" w:type="dxa"/>
              <w:left w:w="100" w:type="dxa"/>
              <w:bottom w:w="60" w:type="dxa"/>
              <w:right w:w="100" w:type="dxa"/>
            </w:tcMar>
          </w:tcPr>
          <w:p w14:paraId="332E2E54" w14:textId="77777777" w:rsidR="00F21733" w:rsidRDefault="00000000">
            <w:pPr>
              <w:jc w:val="center"/>
            </w:pPr>
            <w:r>
              <w:rPr>
                <w:sz w:val="20"/>
                <w:szCs w:val="20"/>
              </w:rPr>
              <w:t>—</w:t>
            </w:r>
          </w:p>
        </w:tc>
        <w:tc>
          <w:tcPr>
            <w:tcW w:w="1100" w:type="dxa"/>
            <w:tcBorders>
              <w:top w:val="none" w:sz="0" w:space="0" w:color="FFFFFF"/>
              <w:left w:val="none" w:sz="0" w:space="0" w:color="FFFFFF"/>
              <w:bottom w:val="single" w:sz="4" w:space="0" w:color="000000"/>
              <w:right w:val="none" w:sz="0" w:space="0" w:color="FFFFFF"/>
            </w:tcBorders>
            <w:tcMar>
              <w:top w:w="60" w:type="dxa"/>
              <w:left w:w="100" w:type="dxa"/>
              <w:bottom w:w="60" w:type="dxa"/>
              <w:right w:w="100" w:type="dxa"/>
            </w:tcMar>
          </w:tcPr>
          <w:p w14:paraId="0DB41C8B" w14:textId="77777777" w:rsidR="00F21733" w:rsidRDefault="00000000">
            <w:pPr>
              <w:jc w:val="center"/>
            </w:pPr>
            <w:r>
              <w:rPr>
                <w:sz w:val="20"/>
                <w:szCs w:val="20"/>
              </w:rPr>
              <w:t>—</w:t>
            </w:r>
          </w:p>
        </w:tc>
        <w:tc>
          <w:tcPr>
            <w:tcW w:w="2226" w:type="dxa"/>
            <w:tcBorders>
              <w:top w:val="none" w:sz="0" w:space="0" w:color="FFFFFF"/>
              <w:left w:val="none" w:sz="0" w:space="0" w:color="FFFFFF"/>
              <w:bottom w:val="single" w:sz="4" w:space="0" w:color="000000"/>
              <w:right w:val="none" w:sz="0" w:space="0" w:color="FFFFFF"/>
            </w:tcBorders>
            <w:tcMar>
              <w:top w:w="60" w:type="dxa"/>
              <w:left w:w="100" w:type="dxa"/>
              <w:bottom w:w="60" w:type="dxa"/>
              <w:right w:w="100" w:type="dxa"/>
            </w:tcMar>
          </w:tcPr>
          <w:p w14:paraId="51B7B3AC" w14:textId="77777777" w:rsidR="00F21733" w:rsidRDefault="00000000">
            <w:pPr>
              <w:jc w:val="center"/>
            </w:pPr>
            <w:r>
              <w:rPr>
                <w:sz w:val="20"/>
                <w:szCs w:val="20"/>
              </w:rPr>
              <w:t>—</w:t>
            </w:r>
          </w:p>
        </w:tc>
      </w:tr>
    </w:tbl>
    <w:p w14:paraId="099D08D2" w14:textId="77777777" w:rsidR="00F21733" w:rsidRDefault="00000000">
      <w:pPr>
        <w:spacing w:before="120"/>
        <w:jc w:val="both"/>
      </w:pPr>
      <w:r>
        <w:rPr>
          <w:i/>
          <w:iCs/>
          <w:sz w:val="18"/>
          <w:szCs w:val="18"/>
        </w:rPr>
        <w:t>Note. Standard maximum-likelihood estimation did not converge due to quasi-complete separation (intramuscular medication: 11/12 restrained vs. 2/69 non-restrained patients exposed). Firth penalized-likelihood estimates are shown; p-values from penalized-likelihood-ratio tests; 95% confidence intervals (CI) by profile penalized likelihood. The extreme magnitude and width of the estimates indicate model degeneracy: intramuscular medication is a concomitant containment intervention applied during the same agitation episode as mechanical restraint, not an antecedent predictor. This analysis is presented solely to document the basis for its exclusion from the primary model (see Methods, Data Analysis). OR is not reported for the constant term.</w:t>
      </w:r>
    </w:p>
    <w:sectPr w:rsidR="00F21733">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9CFE8" w14:textId="77777777" w:rsidR="00125BAD" w:rsidRDefault="00125BAD" w:rsidP="0007495F">
      <w:r>
        <w:separator/>
      </w:r>
    </w:p>
  </w:endnote>
  <w:endnote w:type="continuationSeparator" w:id="0">
    <w:p w14:paraId="4453E992" w14:textId="77777777" w:rsidR="00125BAD" w:rsidRDefault="00125BAD" w:rsidP="0007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D056" w14:textId="77777777" w:rsidR="00125BAD" w:rsidRDefault="00125BAD" w:rsidP="0007495F">
      <w:r>
        <w:separator/>
      </w:r>
    </w:p>
  </w:footnote>
  <w:footnote w:type="continuationSeparator" w:id="0">
    <w:p w14:paraId="2F24E7F8" w14:textId="77777777" w:rsidR="00125BAD" w:rsidRDefault="00125BAD" w:rsidP="00074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D4AD0"/>
    <w:multiLevelType w:val="hybridMultilevel"/>
    <w:tmpl w:val="923A4742"/>
    <w:lvl w:ilvl="0" w:tplc="3CF00DEE">
      <w:start w:val="1"/>
      <w:numFmt w:val="bullet"/>
      <w:lvlText w:val="●"/>
      <w:lvlJc w:val="left"/>
      <w:pPr>
        <w:ind w:left="720" w:hanging="360"/>
      </w:pPr>
    </w:lvl>
    <w:lvl w:ilvl="1" w:tplc="A1A01E84">
      <w:start w:val="1"/>
      <w:numFmt w:val="bullet"/>
      <w:lvlText w:val="○"/>
      <w:lvlJc w:val="left"/>
      <w:pPr>
        <w:ind w:left="1440" w:hanging="360"/>
      </w:pPr>
    </w:lvl>
    <w:lvl w:ilvl="2" w:tplc="3774DC66">
      <w:start w:val="1"/>
      <w:numFmt w:val="bullet"/>
      <w:lvlText w:val="■"/>
      <w:lvlJc w:val="left"/>
      <w:pPr>
        <w:ind w:left="2160" w:hanging="360"/>
      </w:pPr>
    </w:lvl>
    <w:lvl w:ilvl="3" w:tplc="B5588E8A">
      <w:start w:val="1"/>
      <w:numFmt w:val="bullet"/>
      <w:lvlText w:val="●"/>
      <w:lvlJc w:val="left"/>
      <w:pPr>
        <w:ind w:left="2880" w:hanging="360"/>
      </w:pPr>
    </w:lvl>
    <w:lvl w:ilvl="4" w:tplc="C5B8AD02">
      <w:start w:val="1"/>
      <w:numFmt w:val="bullet"/>
      <w:lvlText w:val="○"/>
      <w:lvlJc w:val="left"/>
      <w:pPr>
        <w:ind w:left="3600" w:hanging="360"/>
      </w:pPr>
    </w:lvl>
    <w:lvl w:ilvl="5" w:tplc="AC92E0F2">
      <w:start w:val="1"/>
      <w:numFmt w:val="bullet"/>
      <w:lvlText w:val="■"/>
      <w:lvlJc w:val="left"/>
      <w:pPr>
        <w:ind w:left="4320" w:hanging="360"/>
      </w:pPr>
    </w:lvl>
    <w:lvl w:ilvl="6" w:tplc="3FBC8976">
      <w:start w:val="1"/>
      <w:numFmt w:val="bullet"/>
      <w:lvlText w:val="●"/>
      <w:lvlJc w:val="left"/>
      <w:pPr>
        <w:ind w:left="5040" w:hanging="360"/>
      </w:pPr>
    </w:lvl>
    <w:lvl w:ilvl="7" w:tplc="F6803736">
      <w:start w:val="1"/>
      <w:numFmt w:val="bullet"/>
      <w:lvlText w:val="●"/>
      <w:lvlJc w:val="left"/>
      <w:pPr>
        <w:ind w:left="5760" w:hanging="360"/>
      </w:pPr>
    </w:lvl>
    <w:lvl w:ilvl="8" w:tplc="5D02A7EE">
      <w:start w:val="1"/>
      <w:numFmt w:val="bullet"/>
      <w:lvlText w:val="●"/>
      <w:lvlJc w:val="left"/>
      <w:pPr>
        <w:ind w:left="6480" w:hanging="360"/>
      </w:pPr>
    </w:lvl>
  </w:abstractNum>
  <w:num w:numId="1" w16cid:durableId="39459490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733"/>
    <w:rsid w:val="0007495F"/>
    <w:rsid w:val="00125BAD"/>
    <w:rsid w:val="00B719B0"/>
    <w:rsid w:val="00F21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8DFF2A"/>
  <w15:docId w15:val="{8C80A6C6-A02E-4754-98F1-6BBAE7AC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尾注文本 字符"/>
    <w:link w:val="aa"/>
    <w:uiPriority w:val="99"/>
    <w:semiHidden/>
    <w:unhideWhenUsed/>
    <w:rPr>
      <w:sz w:val="20"/>
      <w:szCs w:val="20"/>
    </w:rPr>
  </w:style>
  <w:style w:type="paragraph" w:styleId="ac">
    <w:name w:val="header"/>
    <w:basedOn w:val="a"/>
    <w:link w:val="ad"/>
    <w:uiPriority w:val="99"/>
    <w:unhideWhenUsed/>
    <w:rsid w:val="0007495F"/>
    <w:pPr>
      <w:tabs>
        <w:tab w:val="center" w:pos="4153"/>
        <w:tab w:val="right" w:pos="8306"/>
      </w:tabs>
      <w:snapToGrid w:val="0"/>
      <w:jc w:val="center"/>
    </w:pPr>
    <w:rPr>
      <w:sz w:val="18"/>
      <w:szCs w:val="18"/>
    </w:rPr>
  </w:style>
  <w:style w:type="character" w:customStyle="1" w:styleId="ad">
    <w:name w:val="页眉 字符"/>
    <w:basedOn w:val="a0"/>
    <w:link w:val="ac"/>
    <w:uiPriority w:val="99"/>
    <w:rsid w:val="0007495F"/>
    <w:rPr>
      <w:sz w:val="18"/>
      <w:szCs w:val="18"/>
    </w:rPr>
  </w:style>
  <w:style w:type="paragraph" w:styleId="ae">
    <w:name w:val="footer"/>
    <w:basedOn w:val="a"/>
    <w:link w:val="af"/>
    <w:uiPriority w:val="99"/>
    <w:unhideWhenUsed/>
    <w:rsid w:val="0007495F"/>
    <w:pPr>
      <w:tabs>
        <w:tab w:val="center" w:pos="4153"/>
        <w:tab w:val="right" w:pos="8306"/>
      </w:tabs>
      <w:snapToGrid w:val="0"/>
    </w:pPr>
    <w:rPr>
      <w:sz w:val="18"/>
      <w:szCs w:val="18"/>
    </w:rPr>
  </w:style>
  <w:style w:type="character" w:customStyle="1" w:styleId="af">
    <w:name w:val="页脚 字符"/>
    <w:basedOn w:val="a0"/>
    <w:link w:val="ae"/>
    <w:uiPriority w:val="99"/>
    <w:rsid w:val="000749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1167</Characters>
  <Application>Microsoft Office Word</Application>
  <DocSecurity>0</DocSecurity>
  <Lines>48</Lines>
  <Paragraphs>41</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Editor</cp:lastModifiedBy>
  <cp:revision>2</cp:revision>
  <dcterms:created xsi:type="dcterms:W3CDTF">2026-06-10T15:59:00Z</dcterms:created>
  <dcterms:modified xsi:type="dcterms:W3CDTF">2026-07-17T02:09:00Z</dcterms:modified>
</cp:coreProperties>
</file>