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B2DD2" w14:textId="414A0934" w:rsidR="002F1692" w:rsidRPr="004150E3" w:rsidRDefault="002F1692" w:rsidP="004150E3">
      <w:pPr>
        <w:spacing w:line="360" w:lineRule="auto"/>
        <w:rPr>
          <w:rFonts w:ascii="Times New Roman" w:hAnsi="Times New Roman" w:cs="Times New Roman" w:hint="eastAsia"/>
          <w:b/>
          <w:bCs/>
          <w:sz w:val="22"/>
          <w:szCs w:val="22"/>
        </w:rPr>
      </w:pPr>
      <w:r w:rsidRPr="004150E3">
        <w:rPr>
          <w:rFonts w:ascii="Times New Roman" w:eastAsia="宋体" w:hAnsi="Times New Roman" w:cs="Times New Roman" w:hint="eastAsia"/>
          <w:b/>
          <w:bCs/>
          <w:sz w:val="22"/>
          <w:szCs w:val="22"/>
        </w:rPr>
        <w:t xml:space="preserve">Supplementary </w:t>
      </w:r>
      <w:r w:rsidRPr="004150E3">
        <w:rPr>
          <w:rFonts w:ascii="Times New Roman" w:eastAsia="宋体" w:hAnsi="Times New Roman" w:cs="Times New Roman"/>
          <w:b/>
          <w:bCs/>
          <w:sz w:val="22"/>
          <w:szCs w:val="22"/>
        </w:rPr>
        <w:t>Figure Legend</w:t>
      </w:r>
      <w:r w:rsidRPr="004150E3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="00EA5510">
        <w:rPr>
          <w:rFonts w:ascii="Times New Roman" w:hAnsi="Times New Roman" w:cs="Times New Roman" w:hint="eastAsia"/>
          <w:b/>
          <w:bCs/>
          <w:sz w:val="22"/>
          <w:szCs w:val="22"/>
        </w:rPr>
        <w:t>:</w:t>
      </w:r>
    </w:p>
    <w:p w14:paraId="50C9AC4A" w14:textId="77777777" w:rsidR="002F1692" w:rsidRPr="00EA5510" w:rsidRDefault="002F1692" w:rsidP="004150E3">
      <w:pPr>
        <w:spacing w:line="360" w:lineRule="auto"/>
        <w:rPr>
          <w:rFonts w:ascii="Times New Roman" w:eastAsia="宋体" w:hAnsi="Times New Roman" w:cs="Times New Roman"/>
          <w:b/>
          <w:bCs/>
          <w:sz w:val="22"/>
          <w:szCs w:val="22"/>
        </w:rPr>
      </w:pPr>
      <w:r w:rsidRPr="004150E3">
        <w:rPr>
          <w:rStyle w:val="ae"/>
          <w:rFonts w:ascii="Times New Roman" w:eastAsia="宋体" w:hAnsi="Times New Roman" w:cs="Times New Roman"/>
          <w:sz w:val="22"/>
          <w:szCs w:val="22"/>
        </w:rPr>
        <w:t xml:space="preserve">Figure </w:t>
      </w:r>
      <w:r w:rsidRPr="004150E3">
        <w:rPr>
          <w:rStyle w:val="ae"/>
          <w:rFonts w:ascii="Times New Roman" w:hAnsi="Times New Roman" w:cs="Times New Roman" w:hint="eastAsia"/>
          <w:sz w:val="22"/>
          <w:szCs w:val="22"/>
        </w:rPr>
        <w:t>S1</w:t>
      </w:r>
      <w:r w:rsidRPr="004150E3">
        <w:rPr>
          <w:rStyle w:val="ae"/>
          <w:rFonts w:ascii="Times New Roman" w:eastAsia="宋体" w:hAnsi="Times New Roman" w:cs="Times New Roman"/>
          <w:sz w:val="22"/>
          <w:szCs w:val="22"/>
        </w:rPr>
        <w:t xml:space="preserve">. </w:t>
      </w:r>
      <w:r w:rsidRPr="00EA5510">
        <w:rPr>
          <w:rStyle w:val="ae"/>
          <w:rFonts w:ascii="Times New Roman" w:eastAsia="宋体" w:hAnsi="Times New Roman" w:cs="Times New Roman"/>
          <w:b w:val="0"/>
          <w:bCs/>
          <w:sz w:val="22"/>
          <w:szCs w:val="22"/>
        </w:rPr>
        <w:t>Correlation Matrix of Independent Social Determinants.</w:t>
      </w:r>
    </w:p>
    <w:p w14:paraId="63E370B1" w14:textId="1FB7E1EE" w:rsidR="002F1692" w:rsidRPr="004150E3" w:rsidRDefault="002F1692" w:rsidP="004150E3">
      <w:pPr>
        <w:spacing w:line="360" w:lineRule="auto"/>
        <w:rPr>
          <w:rStyle w:val="ae"/>
          <w:rFonts w:ascii="Times New Roman" w:eastAsia="宋体" w:hAnsi="Times New Roman" w:cs="Times New Roman"/>
          <w:sz w:val="22"/>
          <w:szCs w:val="22"/>
        </w:rPr>
      </w:pPr>
      <w:r w:rsidRPr="004150E3">
        <w:rPr>
          <w:rStyle w:val="ae"/>
          <w:rFonts w:ascii="Times New Roman" w:eastAsia="宋体" w:hAnsi="Times New Roman" w:cs="Times New Roman"/>
          <w:sz w:val="22"/>
          <w:szCs w:val="22"/>
        </w:rPr>
        <w:t xml:space="preserve">Figure </w:t>
      </w:r>
      <w:r w:rsidRPr="004150E3">
        <w:rPr>
          <w:rStyle w:val="ae"/>
          <w:rFonts w:ascii="Times New Roman" w:hAnsi="Times New Roman" w:cs="Times New Roman" w:hint="eastAsia"/>
          <w:sz w:val="22"/>
          <w:szCs w:val="22"/>
        </w:rPr>
        <w:t>S2</w:t>
      </w:r>
      <w:r w:rsidRPr="004150E3">
        <w:rPr>
          <w:rStyle w:val="ae"/>
          <w:rFonts w:ascii="Times New Roman" w:eastAsia="宋体" w:hAnsi="Times New Roman" w:cs="Times New Roman"/>
          <w:sz w:val="22"/>
          <w:szCs w:val="22"/>
        </w:rPr>
        <w:t xml:space="preserve">. </w:t>
      </w:r>
      <w:r w:rsidRPr="00EA5510">
        <w:rPr>
          <w:rStyle w:val="ae"/>
          <w:rFonts w:ascii="Times New Roman" w:eastAsia="宋体" w:hAnsi="Times New Roman" w:cs="Times New Roman"/>
          <w:b w:val="0"/>
          <w:bCs/>
          <w:sz w:val="22"/>
          <w:szCs w:val="22"/>
        </w:rPr>
        <w:t>Residual Diagnostics for Mixed-Effects Model on Unhappiness.</w:t>
      </w:r>
    </w:p>
    <w:p w14:paraId="0108B84B" w14:textId="77777777" w:rsidR="00EA5510" w:rsidRDefault="00EA5510" w:rsidP="004150E3">
      <w:pPr>
        <w:widowControl/>
        <w:jc w:val="left"/>
        <w:rPr>
          <w:rStyle w:val="ae"/>
          <w:rFonts w:ascii="Times New Roman" w:eastAsia="宋体" w:hAnsi="Times New Roman" w:cs="Times New Roman"/>
          <w:sz w:val="22"/>
          <w:szCs w:val="22"/>
        </w:rPr>
      </w:pPr>
    </w:p>
    <w:p w14:paraId="48B5B63B" w14:textId="366E51EF" w:rsidR="00EA5510" w:rsidRPr="00EA5510" w:rsidRDefault="00EA5510" w:rsidP="00EA5510">
      <w:pPr>
        <w:spacing w:line="360" w:lineRule="auto"/>
        <w:rPr>
          <w:rFonts w:ascii="Times New Roman" w:hAnsi="Times New Roman" w:cs="Times New Roman" w:hint="eastAsia"/>
          <w:b/>
          <w:bCs/>
          <w:sz w:val="22"/>
          <w:szCs w:val="22"/>
        </w:rPr>
      </w:pPr>
      <w:r w:rsidRPr="00EA5510">
        <w:rPr>
          <w:rFonts w:ascii="Times New Roman" w:hAnsi="Times New Roman" w:cs="Times New Roman"/>
          <w:b/>
          <w:sz w:val="22"/>
          <w:szCs w:val="22"/>
        </w:rPr>
        <w:t>Supplementary Table</w:t>
      </w:r>
      <w:r>
        <w:rPr>
          <w:rFonts w:ascii="Times New Roman" w:hAnsi="Times New Roman" w:cs="Times New Roman" w:hint="eastAsia"/>
          <w:b/>
          <w:sz w:val="22"/>
          <w:szCs w:val="22"/>
        </w:rPr>
        <w:t xml:space="preserve"> </w:t>
      </w:r>
      <w:r w:rsidRPr="004150E3">
        <w:rPr>
          <w:rFonts w:ascii="Times New Roman" w:eastAsia="宋体" w:hAnsi="Times New Roman" w:cs="Times New Roman"/>
          <w:b/>
          <w:bCs/>
          <w:sz w:val="22"/>
          <w:szCs w:val="22"/>
        </w:rPr>
        <w:t>Legend</w:t>
      </w:r>
      <w:r w:rsidRPr="004150E3">
        <w:rPr>
          <w:rFonts w:ascii="Times New Roman" w:hAnsi="Times New Roman" w:cs="Times New Roman"/>
          <w:b/>
          <w:bCs/>
          <w:sz w:val="22"/>
          <w:szCs w:val="22"/>
        </w:rPr>
        <w:t>s</w:t>
      </w:r>
      <w:r>
        <w:rPr>
          <w:rFonts w:ascii="Times New Roman" w:hAnsi="Times New Roman" w:cs="Times New Roman" w:hint="eastAsia"/>
          <w:b/>
          <w:bCs/>
          <w:sz w:val="22"/>
          <w:szCs w:val="22"/>
        </w:rPr>
        <w:t>:</w:t>
      </w:r>
    </w:p>
    <w:p w14:paraId="052315CD" w14:textId="7E1CE11A" w:rsidR="00EA5510" w:rsidRPr="00EA5510" w:rsidRDefault="00EA5510" w:rsidP="00EA5510">
      <w:pPr>
        <w:spacing w:line="360" w:lineRule="auto"/>
        <w:rPr>
          <w:rFonts w:ascii="Times New Roman" w:hAnsi="Times New Roman" w:cs="Times New Roman"/>
          <w:bCs/>
          <w:sz w:val="22"/>
          <w:szCs w:val="22"/>
        </w:rPr>
      </w:pPr>
      <w:r w:rsidRPr="00EA5510">
        <w:rPr>
          <w:rFonts w:ascii="Times New Roman" w:hAnsi="Times New Roman" w:cs="Times New Roman"/>
          <w:b/>
          <w:sz w:val="22"/>
          <w:szCs w:val="22"/>
        </w:rPr>
        <w:t xml:space="preserve">Table S1. </w:t>
      </w:r>
      <w:r w:rsidRPr="00EA5510">
        <w:rPr>
          <w:rFonts w:ascii="Times New Roman" w:hAnsi="Times New Roman" w:cs="Times New Roman"/>
          <w:bCs/>
          <w:sz w:val="22"/>
          <w:szCs w:val="22"/>
        </w:rPr>
        <w:t>Univariate Regression Between Unhappiness Ratio and Social Environmental Factors</w:t>
      </w:r>
    </w:p>
    <w:p w14:paraId="2AA1E416" w14:textId="4692B47E" w:rsidR="002F1692" w:rsidRPr="004150E3" w:rsidRDefault="002F1692" w:rsidP="004150E3">
      <w:pPr>
        <w:widowControl/>
        <w:jc w:val="left"/>
        <w:rPr>
          <w:rFonts w:ascii="Times New Roman" w:eastAsia="宋体" w:hAnsi="Times New Roman" w:cs="Times New Roman" w:hint="eastAsia"/>
          <w:b/>
          <w:sz w:val="22"/>
          <w:szCs w:val="22"/>
        </w:rPr>
      </w:pPr>
      <w:r w:rsidRPr="004150E3">
        <w:rPr>
          <w:rStyle w:val="ae"/>
          <w:rFonts w:ascii="Times New Roman" w:eastAsia="宋体" w:hAnsi="Times New Roman" w:cs="Times New Roman"/>
          <w:sz w:val="22"/>
          <w:szCs w:val="22"/>
        </w:rPr>
        <w:br w:type="page"/>
      </w:r>
    </w:p>
    <w:p w14:paraId="482C36C1" w14:textId="77777777" w:rsidR="00161C6B" w:rsidRPr="004150E3" w:rsidRDefault="00000000" w:rsidP="004150E3">
      <w:pPr>
        <w:keepNext/>
        <w:rPr>
          <w:sz w:val="22"/>
          <w:szCs w:val="22"/>
        </w:rPr>
      </w:pPr>
      <w:r w:rsidRPr="004150E3">
        <w:rPr>
          <w:rFonts w:ascii="宋体" w:hAnsi="宋体" w:hint="eastAsia"/>
          <w:noProof/>
          <w:color w:val="333333"/>
          <w:sz w:val="22"/>
          <w:szCs w:val="22"/>
          <w:shd w:val="clear" w:color="auto" w:fill="FFFFFF"/>
        </w:rPr>
        <w:lastRenderedPageBreak/>
        <w:drawing>
          <wp:inline distT="0" distB="0" distL="0" distR="0">
            <wp:extent cx="4639945" cy="4427220"/>
            <wp:effectExtent l="0" t="0" r="8255" b="1143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19" t="16061"/>
                    <a:stretch>
                      <a:fillRect/>
                    </a:stretch>
                  </pic:blipFill>
                  <pic:spPr>
                    <a:xfrm>
                      <a:off x="0" y="0"/>
                      <a:ext cx="4640398" cy="4427228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A6D7A" w14:textId="77777777" w:rsidR="00161C6B" w:rsidRPr="004150E3" w:rsidRDefault="00000000" w:rsidP="004150E3">
      <w:pPr>
        <w:rPr>
          <w:rStyle w:val="ae"/>
          <w:rFonts w:ascii="Times New Roman" w:eastAsia="宋体" w:hAnsi="Times New Roman" w:cs="Times New Roman"/>
          <w:sz w:val="22"/>
          <w:szCs w:val="22"/>
        </w:rPr>
      </w:pPr>
      <w:r w:rsidRPr="004150E3">
        <w:rPr>
          <w:rStyle w:val="ae"/>
          <w:rFonts w:ascii="Times New Roman" w:eastAsia="宋体" w:hAnsi="Times New Roman" w:cs="Times New Roman"/>
          <w:sz w:val="22"/>
          <w:szCs w:val="22"/>
        </w:rPr>
        <w:t xml:space="preserve">Figure </w:t>
      </w:r>
      <w:r w:rsidRPr="004150E3">
        <w:rPr>
          <w:rStyle w:val="ae"/>
          <w:rFonts w:ascii="Times New Roman" w:hAnsi="Times New Roman" w:cs="Times New Roman" w:hint="eastAsia"/>
          <w:sz w:val="22"/>
          <w:szCs w:val="22"/>
        </w:rPr>
        <w:t>S1</w:t>
      </w:r>
      <w:r w:rsidRPr="004150E3">
        <w:rPr>
          <w:rStyle w:val="ae"/>
          <w:rFonts w:ascii="Times New Roman" w:eastAsia="宋体" w:hAnsi="Times New Roman" w:cs="Times New Roman"/>
          <w:sz w:val="22"/>
          <w:szCs w:val="22"/>
        </w:rPr>
        <w:t>. Correlation Matrix of Independent Social Determinants.</w:t>
      </w:r>
    </w:p>
    <w:p w14:paraId="2E0C5932" w14:textId="77777777" w:rsidR="00161C6B" w:rsidRPr="004150E3" w:rsidRDefault="00000000" w:rsidP="004150E3">
      <w:pPr>
        <w:rPr>
          <w:rFonts w:ascii="Times New Roman" w:eastAsia="宋体" w:hAnsi="Times New Roman" w:cs="Times New Roman"/>
          <w:sz w:val="22"/>
          <w:szCs w:val="22"/>
        </w:rPr>
      </w:pPr>
      <w:r w:rsidRPr="004150E3">
        <w:rPr>
          <w:rFonts w:ascii="Times New Roman" w:eastAsia="宋体" w:hAnsi="Times New Roman" w:cs="Times New Roman"/>
          <w:sz w:val="22"/>
          <w:szCs w:val="22"/>
        </w:rPr>
        <w:t>Displays pairwise Pearson correlation coefficients among macro-level social variables (GDP per capita, GNI per capita, CHE, HEER, urban population, TPEE, and dependency ratio) from 2003 to 2021. Strong correlations (|r| &gt; 0.7) indicate the presence of multicollinearity, which requires adjustment in regression models. Data sources: World Bank, CGSS.</w:t>
      </w:r>
    </w:p>
    <w:p w14:paraId="7738E576" w14:textId="77777777" w:rsidR="00161C6B" w:rsidRPr="004150E3" w:rsidRDefault="00000000" w:rsidP="004150E3">
      <w:pPr>
        <w:rPr>
          <w:rFonts w:ascii="Times New Roman" w:eastAsia="宋体" w:hAnsi="Times New Roman" w:cs="Times New Roman"/>
          <w:sz w:val="22"/>
          <w:szCs w:val="22"/>
        </w:rPr>
      </w:pPr>
      <w:r w:rsidRPr="004150E3">
        <w:rPr>
          <w:rFonts w:ascii="Times New Roman" w:eastAsia="宋体" w:hAnsi="Times New Roman" w:cs="Times New Roman"/>
          <w:sz w:val="22"/>
          <w:szCs w:val="22"/>
        </w:rPr>
        <w:t>Note: TER: Total education level of respondent; HEER: Higher education enrollment rate; CHE: Per capita health expenditure; GNI: Gross national income; TPEE: Total public education expenditure; SHER: Spouse/partner's highest education rating.</w:t>
      </w:r>
    </w:p>
    <w:p w14:paraId="17CF4502" w14:textId="77777777" w:rsidR="00161C6B" w:rsidRPr="004150E3" w:rsidRDefault="00161C6B" w:rsidP="004150E3">
      <w:pPr>
        <w:rPr>
          <w:rFonts w:ascii="Times New Roman" w:eastAsia="宋体" w:hAnsi="Times New Roman" w:cs="Times New Roman"/>
          <w:sz w:val="22"/>
          <w:szCs w:val="22"/>
        </w:rPr>
      </w:pPr>
    </w:p>
    <w:p w14:paraId="2AC6AA4F" w14:textId="77777777" w:rsidR="00161C6B" w:rsidRPr="004150E3" w:rsidRDefault="00161C6B" w:rsidP="004150E3">
      <w:pPr>
        <w:rPr>
          <w:rFonts w:ascii="Times New Roman" w:eastAsia="宋体" w:hAnsi="Times New Roman" w:cs="Times New Roman"/>
          <w:sz w:val="22"/>
          <w:szCs w:val="22"/>
        </w:rPr>
      </w:pPr>
    </w:p>
    <w:p w14:paraId="5F49D7E4" w14:textId="77777777" w:rsidR="00161C6B" w:rsidRPr="004150E3" w:rsidRDefault="00000000" w:rsidP="004150E3">
      <w:pPr>
        <w:keepNext/>
        <w:rPr>
          <w:sz w:val="22"/>
          <w:szCs w:val="22"/>
        </w:rPr>
      </w:pPr>
      <w:r w:rsidRPr="004150E3">
        <w:rPr>
          <w:rFonts w:ascii="宋体" w:hAnsi="宋体" w:hint="eastAsia"/>
          <w:noProof/>
          <w:color w:val="333333"/>
          <w:sz w:val="22"/>
          <w:szCs w:val="22"/>
          <w:shd w:val="clear" w:color="auto" w:fill="FFFFFF"/>
        </w:rPr>
        <w:lastRenderedPageBreak/>
        <w:drawing>
          <wp:inline distT="0" distB="0" distL="0" distR="0">
            <wp:extent cx="5274310" cy="3515995"/>
            <wp:effectExtent l="0" t="0" r="2540" b="825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1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5E1D7D" w14:textId="77777777" w:rsidR="00161C6B" w:rsidRPr="004150E3" w:rsidRDefault="00000000" w:rsidP="004150E3">
      <w:pPr>
        <w:rPr>
          <w:rFonts w:ascii="Times New Roman" w:eastAsia="宋体" w:hAnsi="Times New Roman" w:cs="Times New Roman"/>
          <w:sz w:val="22"/>
          <w:szCs w:val="22"/>
        </w:rPr>
      </w:pPr>
      <w:r w:rsidRPr="004150E3">
        <w:rPr>
          <w:rStyle w:val="ae"/>
          <w:rFonts w:ascii="Times New Roman" w:eastAsia="宋体" w:hAnsi="Times New Roman" w:cs="Times New Roman"/>
          <w:sz w:val="22"/>
          <w:szCs w:val="22"/>
        </w:rPr>
        <w:t xml:space="preserve">Figure </w:t>
      </w:r>
      <w:r w:rsidRPr="004150E3">
        <w:rPr>
          <w:rStyle w:val="ae"/>
          <w:rFonts w:ascii="Times New Roman" w:hAnsi="Times New Roman" w:cs="Times New Roman" w:hint="eastAsia"/>
          <w:sz w:val="22"/>
          <w:szCs w:val="22"/>
        </w:rPr>
        <w:t>S2</w:t>
      </w:r>
      <w:r w:rsidRPr="004150E3">
        <w:rPr>
          <w:rStyle w:val="ae"/>
          <w:rFonts w:ascii="Times New Roman" w:eastAsia="宋体" w:hAnsi="Times New Roman" w:cs="Times New Roman"/>
          <w:sz w:val="22"/>
          <w:szCs w:val="22"/>
        </w:rPr>
        <w:t>. Residual Diagnostics for Mixed-Effects Model on Unhappiness.</w:t>
      </w:r>
    </w:p>
    <w:p w14:paraId="104F1D53" w14:textId="77777777" w:rsidR="00161C6B" w:rsidRPr="004150E3" w:rsidRDefault="00000000" w:rsidP="004150E3">
      <w:pPr>
        <w:rPr>
          <w:rFonts w:ascii="Times New Roman" w:eastAsia="宋体" w:hAnsi="Times New Roman" w:cs="Times New Roman"/>
          <w:sz w:val="22"/>
          <w:szCs w:val="22"/>
        </w:rPr>
      </w:pPr>
      <w:r w:rsidRPr="004150E3">
        <w:rPr>
          <w:rFonts w:ascii="Times New Roman" w:eastAsia="宋体" w:hAnsi="Times New Roman" w:cs="Times New Roman"/>
          <w:sz w:val="22"/>
          <w:szCs w:val="22"/>
        </w:rPr>
        <w:t>(A) Residuals vs. theoretical quantiles (Q-Q plot) to assess normality. (B) Random effect of gender plotted against standard normal quantiles. (C) Histogram of residuals verifying approximate normal distribution. (D) Residuals vs. fitted values examining homoscedasticity. Data: 2003–2021 mixed-effects regression on unhappiness ratio with gender as a random effect.</w:t>
      </w:r>
    </w:p>
    <w:p w14:paraId="6AB7AF06" w14:textId="7BB20AC9" w:rsidR="00EA5510" w:rsidRDefault="00EA5510" w:rsidP="004150E3">
      <w:pPr>
        <w:rPr>
          <w:rFonts w:ascii="Times New Roman" w:eastAsia="宋体" w:hAnsi="Times New Roman" w:cs="Times New Roman"/>
          <w:sz w:val="22"/>
          <w:szCs w:val="22"/>
        </w:rPr>
      </w:pPr>
    </w:p>
    <w:p w14:paraId="7854A845" w14:textId="77777777" w:rsidR="00EA5510" w:rsidRDefault="00EA5510">
      <w:pPr>
        <w:widowControl/>
        <w:jc w:val="left"/>
        <w:rPr>
          <w:rFonts w:ascii="Times New Roman" w:eastAsia="宋体" w:hAnsi="Times New Roman" w:cs="Times New Roman"/>
          <w:sz w:val="22"/>
          <w:szCs w:val="22"/>
        </w:rPr>
      </w:pPr>
      <w:r>
        <w:rPr>
          <w:rFonts w:ascii="Times New Roman" w:eastAsia="宋体" w:hAnsi="Times New Roman" w:cs="Times New Roman"/>
          <w:sz w:val="22"/>
          <w:szCs w:val="22"/>
        </w:rPr>
        <w:br w:type="page"/>
      </w:r>
    </w:p>
    <w:p w14:paraId="3AA70807" w14:textId="77777777" w:rsidR="00EA5510" w:rsidRPr="00EA5510" w:rsidRDefault="00EA5510" w:rsidP="00EA5510">
      <w:pPr>
        <w:rPr>
          <w:rStyle w:val="ae"/>
          <w:rFonts w:ascii="Times New Roman" w:hAnsi="Times New Roman" w:cs="Times New Roman"/>
          <w:sz w:val="22"/>
          <w:szCs w:val="22"/>
        </w:rPr>
      </w:pPr>
      <w:r w:rsidRPr="00EA5510">
        <w:rPr>
          <w:rFonts w:ascii="Times New Roman" w:hAnsi="Times New Roman" w:cs="Times New Roman"/>
          <w:b/>
          <w:bCs/>
          <w:sz w:val="22"/>
          <w:szCs w:val="22"/>
        </w:rPr>
        <w:lastRenderedPageBreak/>
        <w:t>Table S1. Univariate Regression Between Unhappiness Ratio and Social Environmental Factors</w:t>
      </w:r>
    </w:p>
    <w:tbl>
      <w:tblPr>
        <w:tblStyle w:val="af1"/>
        <w:tblW w:w="5251" w:type="pct"/>
        <w:tblBorders>
          <w:top w:val="single" w:sz="8" w:space="0" w:color="000000"/>
          <w:left w:val="none" w:sz="0" w:space="0" w:color="auto"/>
          <w:bottom w:val="single" w:sz="8" w:space="0" w:color="00000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81"/>
        <w:gridCol w:w="2179"/>
        <w:gridCol w:w="2182"/>
        <w:gridCol w:w="2181"/>
      </w:tblGrid>
      <w:tr w:rsidR="00EA5510" w:rsidRPr="00EA5510" w14:paraId="039245F0" w14:textId="77777777" w:rsidTr="00EA5510">
        <w:trPr>
          <w:trHeight w:val="709"/>
        </w:trPr>
        <w:tc>
          <w:tcPr>
            <w:tcW w:w="1250" w:type="pct"/>
            <w:tcBorders>
              <w:bottom w:val="single" w:sz="8" w:space="0" w:color="000000"/>
            </w:tcBorders>
            <w:vAlign w:val="center"/>
          </w:tcPr>
          <w:p w14:paraId="34EBBBF3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Dependent variable</w:t>
            </w:r>
          </w:p>
        </w:tc>
        <w:tc>
          <w:tcPr>
            <w:tcW w:w="1249" w:type="pct"/>
            <w:tcBorders>
              <w:bottom w:val="single" w:sz="8" w:space="0" w:color="000000"/>
            </w:tcBorders>
            <w:vAlign w:val="center"/>
          </w:tcPr>
          <w:p w14:paraId="52963716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Independent variable</w:t>
            </w:r>
          </w:p>
        </w:tc>
        <w:tc>
          <w:tcPr>
            <w:tcW w:w="1251" w:type="pct"/>
            <w:tcBorders>
              <w:bottom w:val="single" w:sz="8" w:space="0" w:color="000000"/>
            </w:tcBorders>
            <w:vAlign w:val="center"/>
          </w:tcPr>
          <w:p w14:paraId="67CC30B7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coefficient</w:t>
            </w:r>
          </w:p>
        </w:tc>
        <w:tc>
          <w:tcPr>
            <w:tcW w:w="1250" w:type="pct"/>
            <w:tcBorders>
              <w:bottom w:val="single" w:sz="8" w:space="0" w:color="000000"/>
            </w:tcBorders>
            <w:vAlign w:val="center"/>
          </w:tcPr>
          <w:p w14:paraId="1F75C1A3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P</w:t>
            </w:r>
          </w:p>
        </w:tc>
      </w:tr>
      <w:tr w:rsidR="00EA5510" w:rsidRPr="00EA5510" w14:paraId="0C518D52" w14:textId="77777777" w:rsidTr="00EA5510">
        <w:trPr>
          <w:trHeight w:val="341"/>
        </w:trPr>
        <w:tc>
          <w:tcPr>
            <w:tcW w:w="1250" w:type="pct"/>
            <w:tcBorders>
              <w:top w:val="single" w:sz="8" w:space="0" w:color="000000"/>
            </w:tcBorders>
            <w:vAlign w:val="center"/>
          </w:tcPr>
          <w:p w14:paraId="1D91B2C0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Unhappiness Ratio</w:t>
            </w:r>
          </w:p>
        </w:tc>
        <w:tc>
          <w:tcPr>
            <w:tcW w:w="1249" w:type="pct"/>
            <w:tcBorders>
              <w:top w:val="single" w:sz="8" w:space="0" w:color="000000"/>
            </w:tcBorders>
            <w:vAlign w:val="center"/>
          </w:tcPr>
          <w:p w14:paraId="798329D1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Unemployment</w:t>
            </w:r>
          </w:p>
        </w:tc>
        <w:tc>
          <w:tcPr>
            <w:tcW w:w="1251" w:type="pct"/>
            <w:tcBorders>
              <w:top w:val="single" w:sz="8" w:space="0" w:color="000000"/>
            </w:tcBorders>
            <w:vAlign w:val="center"/>
          </w:tcPr>
          <w:p w14:paraId="37E82E5D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-0.498</w:t>
            </w:r>
          </w:p>
        </w:tc>
        <w:tc>
          <w:tcPr>
            <w:tcW w:w="1250" w:type="pct"/>
            <w:tcBorders>
              <w:top w:val="single" w:sz="8" w:space="0" w:color="000000"/>
            </w:tcBorders>
            <w:vAlign w:val="center"/>
          </w:tcPr>
          <w:p w14:paraId="61476DF0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sz w:val="22"/>
                <w:szCs w:val="22"/>
              </w:rPr>
              <w:t>&lt;0.001</w:t>
            </w:r>
          </w:p>
        </w:tc>
      </w:tr>
      <w:tr w:rsidR="00EA5510" w:rsidRPr="00EA5510" w14:paraId="1A7F5A92" w14:textId="77777777" w:rsidTr="00EA5510">
        <w:trPr>
          <w:trHeight w:val="354"/>
        </w:trPr>
        <w:tc>
          <w:tcPr>
            <w:tcW w:w="1250" w:type="pct"/>
            <w:vAlign w:val="center"/>
          </w:tcPr>
          <w:p w14:paraId="2FA7434E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Unhappiness Ratio</w:t>
            </w:r>
          </w:p>
        </w:tc>
        <w:tc>
          <w:tcPr>
            <w:tcW w:w="1249" w:type="pct"/>
            <w:vAlign w:val="center"/>
          </w:tcPr>
          <w:p w14:paraId="3ECDC9DF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GDP per capita</w:t>
            </w:r>
          </w:p>
        </w:tc>
        <w:tc>
          <w:tcPr>
            <w:tcW w:w="1251" w:type="pct"/>
            <w:vAlign w:val="center"/>
          </w:tcPr>
          <w:p w14:paraId="77C6553D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-0.841</w:t>
            </w:r>
          </w:p>
        </w:tc>
        <w:tc>
          <w:tcPr>
            <w:tcW w:w="1250" w:type="pct"/>
            <w:vAlign w:val="center"/>
          </w:tcPr>
          <w:p w14:paraId="0EC0EE37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sz w:val="22"/>
                <w:szCs w:val="22"/>
              </w:rPr>
              <w:t>&lt;0.001</w:t>
            </w:r>
          </w:p>
        </w:tc>
      </w:tr>
      <w:tr w:rsidR="00EA5510" w:rsidRPr="00EA5510" w14:paraId="5719B47D" w14:textId="77777777" w:rsidTr="00EA5510">
        <w:trPr>
          <w:trHeight w:val="354"/>
        </w:trPr>
        <w:tc>
          <w:tcPr>
            <w:tcW w:w="1250" w:type="pct"/>
            <w:vAlign w:val="center"/>
          </w:tcPr>
          <w:p w14:paraId="22C25B6C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Unhappiness Ratio</w:t>
            </w:r>
          </w:p>
        </w:tc>
        <w:tc>
          <w:tcPr>
            <w:tcW w:w="1249" w:type="pct"/>
            <w:vAlign w:val="center"/>
          </w:tcPr>
          <w:p w14:paraId="153A038C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GNI per capita</w:t>
            </w:r>
          </w:p>
        </w:tc>
        <w:tc>
          <w:tcPr>
            <w:tcW w:w="1251" w:type="pct"/>
            <w:vAlign w:val="center"/>
          </w:tcPr>
          <w:p w14:paraId="6DA6C602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-0.838</w:t>
            </w:r>
          </w:p>
        </w:tc>
        <w:tc>
          <w:tcPr>
            <w:tcW w:w="1250" w:type="pct"/>
            <w:vAlign w:val="center"/>
          </w:tcPr>
          <w:p w14:paraId="320724C0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sz w:val="22"/>
                <w:szCs w:val="22"/>
              </w:rPr>
              <w:t>&lt;0.001</w:t>
            </w:r>
          </w:p>
        </w:tc>
      </w:tr>
      <w:tr w:rsidR="00EA5510" w:rsidRPr="00EA5510" w14:paraId="2C773EAD" w14:textId="77777777" w:rsidTr="00EA5510">
        <w:trPr>
          <w:trHeight w:val="354"/>
        </w:trPr>
        <w:tc>
          <w:tcPr>
            <w:tcW w:w="1250" w:type="pct"/>
            <w:vAlign w:val="center"/>
          </w:tcPr>
          <w:p w14:paraId="102DF7FB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Unhappiness Ratio</w:t>
            </w:r>
          </w:p>
        </w:tc>
        <w:tc>
          <w:tcPr>
            <w:tcW w:w="1249" w:type="pct"/>
            <w:vAlign w:val="center"/>
          </w:tcPr>
          <w:p w14:paraId="4E8F001F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CHE per capita</w:t>
            </w:r>
          </w:p>
        </w:tc>
        <w:tc>
          <w:tcPr>
            <w:tcW w:w="1251" w:type="pct"/>
            <w:vAlign w:val="center"/>
          </w:tcPr>
          <w:p w14:paraId="5F0477FB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-0.842</w:t>
            </w:r>
          </w:p>
        </w:tc>
        <w:tc>
          <w:tcPr>
            <w:tcW w:w="1250" w:type="pct"/>
            <w:vAlign w:val="center"/>
          </w:tcPr>
          <w:p w14:paraId="497BC667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sz w:val="22"/>
                <w:szCs w:val="22"/>
              </w:rPr>
              <w:t>&lt;0.001</w:t>
            </w:r>
          </w:p>
        </w:tc>
      </w:tr>
      <w:tr w:rsidR="00EA5510" w:rsidRPr="00EA5510" w14:paraId="64B954B6" w14:textId="77777777" w:rsidTr="00EA5510">
        <w:trPr>
          <w:trHeight w:val="354"/>
        </w:trPr>
        <w:tc>
          <w:tcPr>
            <w:tcW w:w="1250" w:type="pct"/>
            <w:vAlign w:val="center"/>
          </w:tcPr>
          <w:p w14:paraId="75AC43D8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Unhappiness Ratio</w:t>
            </w:r>
          </w:p>
        </w:tc>
        <w:tc>
          <w:tcPr>
            <w:tcW w:w="1249" w:type="pct"/>
            <w:vAlign w:val="center"/>
          </w:tcPr>
          <w:p w14:paraId="6CB39CDE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Urban population</w:t>
            </w:r>
          </w:p>
        </w:tc>
        <w:tc>
          <w:tcPr>
            <w:tcW w:w="1251" w:type="pct"/>
            <w:vAlign w:val="center"/>
          </w:tcPr>
          <w:p w14:paraId="4195E3F7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-0.834</w:t>
            </w:r>
          </w:p>
        </w:tc>
        <w:tc>
          <w:tcPr>
            <w:tcW w:w="1250" w:type="pct"/>
            <w:vAlign w:val="center"/>
          </w:tcPr>
          <w:p w14:paraId="2E574330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sz w:val="22"/>
                <w:szCs w:val="22"/>
              </w:rPr>
              <w:t>&lt;0.001</w:t>
            </w:r>
          </w:p>
        </w:tc>
      </w:tr>
      <w:tr w:rsidR="00EA5510" w:rsidRPr="00EA5510" w14:paraId="641CC6AB" w14:textId="77777777" w:rsidTr="00EA5510">
        <w:trPr>
          <w:trHeight w:val="354"/>
        </w:trPr>
        <w:tc>
          <w:tcPr>
            <w:tcW w:w="1250" w:type="pct"/>
            <w:vAlign w:val="center"/>
          </w:tcPr>
          <w:p w14:paraId="34F3C6E0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Unhappiness Ratio</w:t>
            </w:r>
          </w:p>
        </w:tc>
        <w:tc>
          <w:tcPr>
            <w:tcW w:w="1249" w:type="pct"/>
            <w:vAlign w:val="center"/>
          </w:tcPr>
          <w:p w14:paraId="0721436A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HEER</w:t>
            </w:r>
          </w:p>
        </w:tc>
        <w:tc>
          <w:tcPr>
            <w:tcW w:w="1251" w:type="pct"/>
            <w:vAlign w:val="center"/>
          </w:tcPr>
          <w:p w14:paraId="2223EA4A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-0.825</w:t>
            </w:r>
          </w:p>
        </w:tc>
        <w:tc>
          <w:tcPr>
            <w:tcW w:w="1250" w:type="pct"/>
            <w:vAlign w:val="center"/>
          </w:tcPr>
          <w:p w14:paraId="56DFD5E0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sz w:val="22"/>
                <w:szCs w:val="22"/>
              </w:rPr>
              <w:t>&lt;0.001</w:t>
            </w:r>
          </w:p>
        </w:tc>
      </w:tr>
      <w:tr w:rsidR="00EA5510" w:rsidRPr="00EA5510" w14:paraId="08D010DA" w14:textId="77777777" w:rsidTr="00EA5510">
        <w:trPr>
          <w:trHeight w:val="354"/>
        </w:trPr>
        <w:tc>
          <w:tcPr>
            <w:tcW w:w="1250" w:type="pct"/>
            <w:vAlign w:val="center"/>
          </w:tcPr>
          <w:p w14:paraId="3EFE7539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Unhappiness Ratio</w:t>
            </w:r>
          </w:p>
        </w:tc>
        <w:tc>
          <w:tcPr>
            <w:tcW w:w="1249" w:type="pct"/>
            <w:vAlign w:val="center"/>
          </w:tcPr>
          <w:p w14:paraId="42E3E326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TPEE</w:t>
            </w:r>
          </w:p>
        </w:tc>
        <w:tc>
          <w:tcPr>
            <w:tcW w:w="1251" w:type="pct"/>
            <w:vAlign w:val="center"/>
          </w:tcPr>
          <w:p w14:paraId="3B8E01AC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-0.680</w:t>
            </w:r>
          </w:p>
        </w:tc>
        <w:tc>
          <w:tcPr>
            <w:tcW w:w="1250" w:type="pct"/>
            <w:vAlign w:val="center"/>
          </w:tcPr>
          <w:p w14:paraId="51E2E74B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sz w:val="22"/>
                <w:szCs w:val="22"/>
              </w:rPr>
              <w:t>&lt;0.001</w:t>
            </w:r>
          </w:p>
        </w:tc>
      </w:tr>
      <w:tr w:rsidR="00EA5510" w:rsidRPr="00EA5510" w14:paraId="7F1B87F0" w14:textId="77777777" w:rsidTr="00EA5510">
        <w:trPr>
          <w:trHeight w:val="354"/>
        </w:trPr>
        <w:tc>
          <w:tcPr>
            <w:tcW w:w="1250" w:type="pct"/>
            <w:vAlign w:val="center"/>
          </w:tcPr>
          <w:p w14:paraId="31231E30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Unhappiness Ratio</w:t>
            </w:r>
          </w:p>
        </w:tc>
        <w:tc>
          <w:tcPr>
            <w:tcW w:w="1249" w:type="pct"/>
            <w:vAlign w:val="center"/>
          </w:tcPr>
          <w:p w14:paraId="2B49EA9C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Dependency Ratio</w:t>
            </w:r>
          </w:p>
        </w:tc>
        <w:tc>
          <w:tcPr>
            <w:tcW w:w="1251" w:type="pct"/>
            <w:vAlign w:val="center"/>
          </w:tcPr>
          <w:p w14:paraId="4DBA2DF9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-0.504</w:t>
            </w:r>
          </w:p>
        </w:tc>
        <w:tc>
          <w:tcPr>
            <w:tcW w:w="1250" w:type="pct"/>
            <w:vAlign w:val="center"/>
          </w:tcPr>
          <w:p w14:paraId="7A829859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sz w:val="22"/>
                <w:szCs w:val="22"/>
              </w:rPr>
              <w:t>&lt;0.001</w:t>
            </w:r>
          </w:p>
        </w:tc>
      </w:tr>
      <w:tr w:rsidR="00EA5510" w:rsidRPr="00EA5510" w14:paraId="176FADA5" w14:textId="77777777" w:rsidTr="00EA5510">
        <w:trPr>
          <w:trHeight w:val="354"/>
        </w:trPr>
        <w:tc>
          <w:tcPr>
            <w:tcW w:w="1250" w:type="pct"/>
            <w:vAlign w:val="center"/>
          </w:tcPr>
          <w:p w14:paraId="5E3AFAE5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Unhappiness Ratio</w:t>
            </w:r>
          </w:p>
        </w:tc>
        <w:tc>
          <w:tcPr>
            <w:tcW w:w="1249" w:type="pct"/>
            <w:vAlign w:val="center"/>
          </w:tcPr>
          <w:p w14:paraId="17B81503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Divorce Ratio</w:t>
            </w:r>
          </w:p>
        </w:tc>
        <w:tc>
          <w:tcPr>
            <w:tcW w:w="1251" w:type="pct"/>
            <w:vAlign w:val="center"/>
          </w:tcPr>
          <w:p w14:paraId="0C0AC433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-0.086</w:t>
            </w:r>
          </w:p>
        </w:tc>
        <w:tc>
          <w:tcPr>
            <w:tcW w:w="1250" w:type="pct"/>
            <w:vAlign w:val="center"/>
          </w:tcPr>
          <w:p w14:paraId="14157D2C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0.365</w:t>
            </w:r>
          </w:p>
        </w:tc>
      </w:tr>
      <w:tr w:rsidR="00EA5510" w:rsidRPr="00EA5510" w14:paraId="7A29C5A1" w14:textId="77777777" w:rsidTr="00EA5510">
        <w:trPr>
          <w:trHeight w:val="354"/>
        </w:trPr>
        <w:tc>
          <w:tcPr>
            <w:tcW w:w="1250" w:type="pct"/>
            <w:vAlign w:val="center"/>
          </w:tcPr>
          <w:p w14:paraId="3265504F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Unhappiness Ratio</w:t>
            </w:r>
          </w:p>
        </w:tc>
        <w:tc>
          <w:tcPr>
            <w:tcW w:w="1249" w:type="pct"/>
            <w:vAlign w:val="center"/>
          </w:tcPr>
          <w:p w14:paraId="73C6B778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TER</w:t>
            </w:r>
          </w:p>
        </w:tc>
        <w:tc>
          <w:tcPr>
            <w:tcW w:w="1251" w:type="pct"/>
            <w:vAlign w:val="center"/>
          </w:tcPr>
          <w:p w14:paraId="29796F74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-0.035</w:t>
            </w:r>
          </w:p>
        </w:tc>
        <w:tc>
          <w:tcPr>
            <w:tcW w:w="1250" w:type="pct"/>
            <w:vAlign w:val="center"/>
          </w:tcPr>
          <w:p w14:paraId="32B58E88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0.711</w:t>
            </w:r>
          </w:p>
        </w:tc>
      </w:tr>
      <w:tr w:rsidR="00EA5510" w:rsidRPr="00EA5510" w14:paraId="10F0BE09" w14:textId="77777777" w:rsidTr="00EA5510">
        <w:trPr>
          <w:trHeight w:val="354"/>
        </w:trPr>
        <w:tc>
          <w:tcPr>
            <w:tcW w:w="1250" w:type="pct"/>
            <w:vAlign w:val="center"/>
          </w:tcPr>
          <w:p w14:paraId="2F8FA39B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Unhappiness Ratio</w:t>
            </w:r>
          </w:p>
        </w:tc>
        <w:tc>
          <w:tcPr>
            <w:tcW w:w="1249" w:type="pct"/>
            <w:vAlign w:val="center"/>
          </w:tcPr>
          <w:p w14:paraId="34843D5D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SHER</w:t>
            </w:r>
          </w:p>
        </w:tc>
        <w:tc>
          <w:tcPr>
            <w:tcW w:w="1251" w:type="pct"/>
            <w:vAlign w:val="center"/>
          </w:tcPr>
          <w:p w14:paraId="5032DA46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-0.113</w:t>
            </w:r>
          </w:p>
        </w:tc>
        <w:tc>
          <w:tcPr>
            <w:tcW w:w="1250" w:type="pct"/>
            <w:vAlign w:val="center"/>
          </w:tcPr>
          <w:p w14:paraId="49EC7FD4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0.230</w:t>
            </w:r>
          </w:p>
        </w:tc>
      </w:tr>
      <w:tr w:rsidR="00EA5510" w:rsidRPr="00EA5510" w14:paraId="28A3C04E" w14:textId="77777777" w:rsidTr="00EA5510">
        <w:trPr>
          <w:trHeight w:val="354"/>
        </w:trPr>
        <w:tc>
          <w:tcPr>
            <w:tcW w:w="1250" w:type="pct"/>
            <w:vAlign w:val="center"/>
          </w:tcPr>
          <w:p w14:paraId="7EB726D3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Unhappiness Ratio</w:t>
            </w:r>
          </w:p>
        </w:tc>
        <w:tc>
          <w:tcPr>
            <w:tcW w:w="1249" w:type="pct"/>
            <w:vAlign w:val="center"/>
          </w:tcPr>
          <w:p w14:paraId="53595866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Happiness Ratio</w:t>
            </w:r>
          </w:p>
        </w:tc>
        <w:tc>
          <w:tcPr>
            <w:tcW w:w="1251" w:type="pct"/>
            <w:vAlign w:val="center"/>
          </w:tcPr>
          <w:p w14:paraId="25A122B0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-0.637</w:t>
            </w:r>
          </w:p>
        </w:tc>
        <w:tc>
          <w:tcPr>
            <w:tcW w:w="1250" w:type="pct"/>
            <w:vAlign w:val="center"/>
          </w:tcPr>
          <w:p w14:paraId="31BC876A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sz w:val="22"/>
                <w:szCs w:val="22"/>
              </w:rPr>
              <w:t>&lt;0.001</w:t>
            </w:r>
          </w:p>
        </w:tc>
      </w:tr>
      <w:tr w:rsidR="00EA5510" w:rsidRPr="00EA5510" w14:paraId="45524D32" w14:textId="77777777" w:rsidTr="00EA5510">
        <w:trPr>
          <w:trHeight w:val="354"/>
        </w:trPr>
        <w:tc>
          <w:tcPr>
            <w:tcW w:w="1250" w:type="pct"/>
            <w:vAlign w:val="center"/>
          </w:tcPr>
          <w:p w14:paraId="2D153F29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Unhappiness Ratio</w:t>
            </w:r>
          </w:p>
        </w:tc>
        <w:tc>
          <w:tcPr>
            <w:tcW w:w="1249" w:type="pct"/>
            <w:vAlign w:val="center"/>
          </w:tcPr>
          <w:p w14:paraId="2324E508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Middle income Ratio</w:t>
            </w:r>
          </w:p>
        </w:tc>
        <w:tc>
          <w:tcPr>
            <w:tcW w:w="1251" w:type="pct"/>
            <w:vAlign w:val="center"/>
          </w:tcPr>
          <w:p w14:paraId="59733547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-0.434</w:t>
            </w:r>
          </w:p>
        </w:tc>
        <w:tc>
          <w:tcPr>
            <w:tcW w:w="1250" w:type="pct"/>
            <w:vAlign w:val="center"/>
          </w:tcPr>
          <w:p w14:paraId="33CFC8AC" w14:textId="77777777" w:rsidR="00EA5510" w:rsidRPr="00EA5510" w:rsidRDefault="00EA5510" w:rsidP="00EA5510">
            <w:pPr>
              <w:widowControl/>
              <w:textAlignment w:val="center"/>
              <w:rPr>
                <w:rFonts w:ascii="Times New Roman" w:hAnsi="Times New Roman" w:cs="Times New Roman"/>
                <w:color w:val="333333"/>
                <w:kern w:val="0"/>
                <w:sz w:val="22"/>
                <w:szCs w:val="22"/>
                <w:shd w:val="clear" w:color="auto" w:fill="FFFFFF"/>
              </w:rPr>
            </w:pPr>
            <w:r w:rsidRPr="00EA5510">
              <w:rPr>
                <w:rFonts w:ascii="Times New Roman" w:hAnsi="Times New Roman" w:cs="Times New Roman"/>
                <w:sz w:val="22"/>
                <w:szCs w:val="22"/>
              </w:rPr>
              <w:t>&lt;0.001</w:t>
            </w:r>
          </w:p>
        </w:tc>
      </w:tr>
    </w:tbl>
    <w:p w14:paraId="2339CE74" w14:textId="0168416C" w:rsidR="00161C6B" w:rsidRPr="00EA5510" w:rsidRDefault="00EA5510" w:rsidP="00EA5510">
      <w:pPr>
        <w:rPr>
          <w:rFonts w:ascii="Times New Roman" w:eastAsia="宋体" w:hAnsi="Times New Roman" w:cs="Times New Roman"/>
          <w:sz w:val="22"/>
          <w:szCs w:val="22"/>
        </w:rPr>
      </w:pPr>
      <w:bookmarkStart w:id="0" w:name="OLE_LINK1"/>
      <w:bookmarkStart w:id="1" w:name="OLE_LINK2"/>
      <w:r w:rsidRPr="00EA5510">
        <w:rPr>
          <w:rFonts w:ascii="Times New Roman" w:hAnsi="Times New Roman" w:cs="Times New Roman"/>
          <w:sz w:val="22"/>
          <w:szCs w:val="22"/>
        </w:rPr>
        <w:t xml:space="preserve">Note: </w:t>
      </w:r>
      <w:bookmarkStart w:id="2" w:name="OLE_LINK14"/>
      <w:bookmarkEnd w:id="0"/>
      <w:r w:rsidRPr="00EA5510">
        <w:rPr>
          <w:rFonts w:ascii="Times New Roman" w:hAnsi="Times New Roman" w:cs="Times New Roman"/>
          <w:sz w:val="22"/>
          <w:szCs w:val="22"/>
        </w:rPr>
        <w:t>GNI: Gross national income;</w:t>
      </w:r>
      <w:bookmarkEnd w:id="2"/>
      <w:r w:rsidRPr="00EA5510">
        <w:rPr>
          <w:rFonts w:ascii="Times New Roman" w:hAnsi="Times New Roman" w:cs="Times New Roman"/>
          <w:sz w:val="22"/>
          <w:szCs w:val="22"/>
        </w:rPr>
        <w:t xml:space="preserve"> </w:t>
      </w:r>
      <w:bookmarkStart w:id="3" w:name="OLE_LINK15"/>
      <w:proofErr w:type="spellStart"/>
      <w:proofErr w:type="gramStart"/>
      <w:r w:rsidRPr="00EA5510">
        <w:rPr>
          <w:rFonts w:ascii="Times New Roman" w:hAnsi="Times New Roman" w:cs="Times New Roman"/>
          <w:sz w:val="22"/>
          <w:szCs w:val="22"/>
        </w:rPr>
        <w:t>CHE:</w:t>
      </w:r>
      <w:bookmarkStart w:id="4" w:name="OLE_LINK5"/>
      <w:r w:rsidRPr="00EA5510">
        <w:rPr>
          <w:rFonts w:ascii="Times New Roman" w:hAnsi="Times New Roman" w:cs="Times New Roman"/>
          <w:sz w:val="22"/>
          <w:szCs w:val="22"/>
        </w:rPr>
        <w:t>Per</w:t>
      </w:r>
      <w:proofErr w:type="spellEnd"/>
      <w:proofErr w:type="gramEnd"/>
      <w:r w:rsidRPr="00EA5510">
        <w:rPr>
          <w:rFonts w:ascii="Times New Roman" w:hAnsi="Times New Roman" w:cs="Times New Roman"/>
          <w:sz w:val="22"/>
          <w:szCs w:val="22"/>
        </w:rPr>
        <w:t xml:space="preserve"> capita health expenditure</w:t>
      </w:r>
      <w:bookmarkEnd w:id="4"/>
      <w:r w:rsidRPr="00EA5510">
        <w:rPr>
          <w:rFonts w:ascii="Times New Roman" w:hAnsi="Times New Roman" w:cs="Times New Roman"/>
          <w:sz w:val="22"/>
          <w:szCs w:val="22"/>
        </w:rPr>
        <w:t>;</w:t>
      </w:r>
      <w:bookmarkEnd w:id="3"/>
      <w:r w:rsidRPr="00EA5510">
        <w:rPr>
          <w:rFonts w:ascii="Times New Roman" w:hAnsi="Times New Roman" w:cs="Times New Roman"/>
          <w:sz w:val="22"/>
          <w:szCs w:val="22"/>
        </w:rPr>
        <w:t xml:space="preserve"> </w:t>
      </w:r>
      <w:bookmarkStart w:id="5" w:name="OLE_LINK12"/>
      <w:bookmarkStart w:id="6" w:name="OLE_LINK13"/>
      <w:bookmarkStart w:id="7" w:name="OLE_LINK16"/>
      <w:r w:rsidRPr="00EA5510">
        <w:rPr>
          <w:rFonts w:ascii="Times New Roman" w:hAnsi="Times New Roman" w:cs="Times New Roman"/>
          <w:sz w:val="22"/>
          <w:szCs w:val="22"/>
        </w:rPr>
        <w:t>HEER:</w:t>
      </w:r>
      <w:bookmarkStart w:id="8" w:name="OLE_LINK6"/>
      <w:r w:rsidRPr="00EA5510">
        <w:rPr>
          <w:rFonts w:ascii="Times New Roman" w:hAnsi="Times New Roman" w:cs="Times New Roman"/>
          <w:sz w:val="22"/>
          <w:szCs w:val="22"/>
        </w:rPr>
        <w:t xml:space="preserve"> Higher education enrollment rate</w:t>
      </w:r>
      <w:bookmarkEnd w:id="8"/>
      <w:r w:rsidRPr="00EA5510">
        <w:rPr>
          <w:rFonts w:ascii="Times New Roman" w:hAnsi="Times New Roman" w:cs="Times New Roman"/>
          <w:sz w:val="22"/>
          <w:szCs w:val="22"/>
        </w:rPr>
        <w:t>;</w:t>
      </w:r>
      <w:bookmarkEnd w:id="5"/>
      <w:bookmarkEnd w:id="6"/>
      <w:r w:rsidRPr="00EA5510">
        <w:rPr>
          <w:rFonts w:ascii="Times New Roman" w:hAnsi="Times New Roman" w:cs="Times New Roman"/>
          <w:sz w:val="22"/>
          <w:szCs w:val="22"/>
        </w:rPr>
        <w:t xml:space="preserve"> </w:t>
      </w:r>
      <w:bookmarkStart w:id="9" w:name="OLE_LINK10"/>
      <w:r w:rsidRPr="00EA5510">
        <w:rPr>
          <w:rFonts w:ascii="Times New Roman" w:hAnsi="Times New Roman" w:cs="Times New Roman"/>
          <w:sz w:val="22"/>
          <w:szCs w:val="22"/>
        </w:rPr>
        <w:t xml:space="preserve">TPEE: </w:t>
      </w:r>
      <w:bookmarkEnd w:id="7"/>
      <w:r w:rsidRPr="00EA5510">
        <w:rPr>
          <w:rFonts w:ascii="Times New Roman" w:hAnsi="Times New Roman" w:cs="Times New Roman"/>
          <w:sz w:val="22"/>
          <w:szCs w:val="22"/>
        </w:rPr>
        <w:t>Total public expenditure on education; TER: Total education level of respondent;</w:t>
      </w:r>
      <w:bookmarkEnd w:id="9"/>
      <w:r w:rsidRPr="00EA5510">
        <w:rPr>
          <w:rFonts w:ascii="Times New Roman" w:hAnsi="Times New Roman" w:cs="Times New Roman"/>
          <w:sz w:val="22"/>
          <w:szCs w:val="22"/>
        </w:rPr>
        <w:t xml:space="preserve"> </w:t>
      </w:r>
      <w:bookmarkStart w:id="10" w:name="OLE_LINK11"/>
      <w:r w:rsidRPr="00EA5510">
        <w:rPr>
          <w:rFonts w:ascii="Times New Roman" w:hAnsi="Times New Roman" w:cs="Times New Roman"/>
          <w:sz w:val="22"/>
          <w:szCs w:val="22"/>
        </w:rPr>
        <w:t xml:space="preserve">SHER: </w:t>
      </w:r>
      <w:bookmarkEnd w:id="1"/>
      <w:bookmarkEnd w:id="10"/>
      <w:r w:rsidRPr="00EA5510">
        <w:rPr>
          <w:rFonts w:ascii="Times New Roman" w:hAnsi="Times New Roman" w:cs="Times New Roman"/>
          <w:sz w:val="22"/>
          <w:szCs w:val="22"/>
        </w:rPr>
        <w:t>Spouse/partner's highest education rating.</w:t>
      </w:r>
    </w:p>
    <w:sectPr w:rsidR="00161C6B" w:rsidRPr="00EA55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65BC7" w14:textId="77777777" w:rsidR="00D16723" w:rsidRDefault="00D16723" w:rsidP="002F1692">
      <w:r>
        <w:separator/>
      </w:r>
    </w:p>
  </w:endnote>
  <w:endnote w:type="continuationSeparator" w:id="0">
    <w:p w14:paraId="54CF48DF" w14:textId="77777777" w:rsidR="00D16723" w:rsidRDefault="00D16723" w:rsidP="002F1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5A056" w14:textId="77777777" w:rsidR="00D16723" w:rsidRDefault="00D16723" w:rsidP="002F1692">
      <w:r>
        <w:separator/>
      </w:r>
    </w:p>
  </w:footnote>
  <w:footnote w:type="continuationSeparator" w:id="0">
    <w:p w14:paraId="3C6E636C" w14:textId="77777777" w:rsidR="00D16723" w:rsidRDefault="00D16723" w:rsidP="002F16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8236BD5"/>
    <w:rsid w:val="00021516"/>
    <w:rsid w:val="000A3A8F"/>
    <w:rsid w:val="00161C6B"/>
    <w:rsid w:val="0026161F"/>
    <w:rsid w:val="002F1692"/>
    <w:rsid w:val="003148B1"/>
    <w:rsid w:val="00343C57"/>
    <w:rsid w:val="003944DB"/>
    <w:rsid w:val="003F3218"/>
    <w:rsid w:val="004150E3"/>
    <w:rsid w:val="00422D84"/>
    <w:rsid w:val="006E083F"/>
    <w:rsid w:val="00756542"/>
    <w:rsid w:val="00AE49AE"/>
    <w:rsid w:val="00CC4432"/>
    <w:rsid w:val="00CE0392"/>
    <w:rsid w:val="00D16723"/>
    <w:rsid w:val="00EA5510"/>
    <w:rsid w:val="3F771AE1"/>
    <w:rsid w:val="7823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F32AC8"/>
  <w15:docId w15:val="{ED2812E5-5ABC-46FD-BCCA-E51FFEA6E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annotation text"/>
    <w:basedOn w:val="a"/>
    <w:link w:val="a5"/>
    <w:qFormat/>
    <w:pPr>
      <w:jc w:val="left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annotation subject"/>
    <w:basedOn w:val="a4"/>
    <w:next w:val="a4"/>
    <w:link w:val="ad"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annotation reference"/>
    <w:basedOn w:val="a0"/>
    <w:qFormat/>
    <w:rPr>
      <w:sz w:val="21"/>
      <w:szCs w:val="21"/>
    </w:rPr>
  </w:style>
  <w:style w:type="character" w:customStyle="1" w:styleId="ab">
    <w:name w:val="页眉 字符"/>
    <w:basedOn w:val="a0"/>
    <w:link w:val="aa"/>
    <w:qFormat/>
    <w:rPr>
      <w:kern w:val="2"/>
      <w:sz w:val="18"/>
      <w:szCs w:val="18"/>
    </w:rPr>
  </w:style>
  <w:style w:type="character" w:customStyle="1" w:styleId="a9">
    <w:name w:val="页脚 字符"/>
    <w:basedOn w:val="a0"/>
    <w:link w:val="a8"/>
    <w:qFormat/>
    <w:rPr>
      <w:kern w:val="2"/>
      <w:sz w:val="18"/>
      <w:szCs w:val="18"/>
    </w:rPr>
  </w:style>
  <w:style w:type="character" w:customStyle="1" w:styleId="a5">
    <w:name w:val="批注文字 字符"/>
    <w:basedOn w:val="a0"/>
    <w:link w:val="a4"/>
    <w:qFormat/>
    <w:rPr>
      <w:kern w:val="2"/>
      <w:sz w:val="21"/>
      <w:szCs w:val="24"/>
    </w:rPr>
  </w:style>
  <w:style w:type="character" w:customStyle="1" w:styleId="ad">
    <w:name w:val="批注主题 字符"/>
    <w:basedOn w:val="a5"/>
    <w:link w:val="ac"/>
    <w:qFormat/>
    <w:rPr>
      <w:b/>
      <w:bCs/>
      <w:kern w:val="2"/>
      <w:sz w:val="21"/>
      <w:szCs w:val="24"/>
    </w:rPr>
  </w:style>
  <w:style w:type="character" w:customStyle="1" w:styleId="a7">
    <w:name w:val="批注框文本 字符"/>
    <w:basedOn w:val="a0"/>
    <w:link w:val="a6"/>
    <w:qFormat/>
    <w:rPr>
      <w:kern w:val="2"/>
      <w:sz w:val="18"/>
      <w:szCs w:val="18"/>
    </w:rPr>
  </w:style>
  <w:style w:type="paragraph" w:styleId="af0">
    <w:name w:val="Revision"/>
    <w:hidden/>
    <w:uiPriority w:val="99"/>
    <w:unhideWhenUsed/>
    <w:rsid w:val="002F1692"/>
    <w:rPr>
      <w:kern w:val="2"/>
      <w:sz w:val="21"/>
      <w:szCs w:val="24"/>
    </w:rPr>
  </w:style>
  <w:style w:type="table" w:styleId="af1">
    <w:name w:val="Table Grid"/>
    <w:basedOn w:val="a1"/>
    <w:uiPriority w:val="99"/>
    <w:qFormat/>
    <w:rsid w:val="00EA5510"/>
    <w:pPr>
      <w:widowControl w:val="0"/>
      <w:jc w:val="both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308</Words>
  <Characters>2069</Characters>
  <Application>Microsoft Office Word</Application>
  <DocSecurity>0</DocSecurity>
  <Lines>159</Lines>
  <Paragraphs>158</Paragraphs>
  <ScaleCrop>false</ScaleCrop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WPS01</dc:creator>
  <cp:lastModifiedBy>Editor</cp:lastModifiedBy>
  <cp:revision>6</cp:revision>
  <dcterms:created xsi:type="dcterms:W3CDTF">2026-04-21T08:26:00Z</dcterms:created>
  <dcterms:modified xsi:type="dcterms:W3CDTF">2026-04-21T08:29:00Z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D85D926210FE488F97953D74472E2BAB_11</vt:lpwstr>
  </property>
  <property fmtid="{D5CDD505-2E9C-101B-9397-08002B2CF9AE}" pid="4" name="KSOTemplateDocerSaveRecord">
    <vt:lpwstr>eyJoZGlkIjoiZmExMzQ5NTRkYzJhNzljNTFjMmM0ZTQwYjYzMGFmM2EiLCJ1c2VySWQiOiIxNjQ4MTgzODQ2In0=</vt:lpwstr>
  </property>
</Properties>
</file>