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3AB9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Supplementary Table S1. Safety outcomes stratified by baseline SII subgroup within each treatment group</w:t>
      </w:r>
      <w:bookmarkStart w:id="0" w:name="_GoBack"/>
      <w:bookmarkEnd w:id="0"/>
    </w:p>
    <w:tbl>
      <w:tblPr>
        <w:tblStyle w:val="6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873"/>
        <w:gridCol w:w="873"/>
        <w:gridCol w:w="744"/>
        <w:gridCol w:w="849"/>
        <w:gridCol w:w="849"/>
        <w:gridCol w:w="744"/>
        <w:gridCol w:w="825"/>
        <w:gridCol w:w="825"/>
        <w:gridCol w:w="744"/>
      </w:tblGrid>
      <w:tr w14:paraId="748069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5DBA84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Variables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5768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Low SII risperidone (n=38)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5925D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SII risperidone (n=39)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1C0195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Adjusted P value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03C7E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Low SII olanzapine (n=38)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26C71D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SII olanzapine (n=39)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3FC6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Adjusted P value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34240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Low SII quetiapine (n=39)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64358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SII quetiapine (n=38)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14:paraId="753B06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Adjusted P value</w:t>
            </w:r>
          </w:p>
        </w:tc>
      </w:tr>
      <w:tr w14:paraId="5E48A49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</w:tcBorders>
          </w:tcPr>
          <w:p w14:paraId="7D49C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New-onset pneumonia, n (%)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122C7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4F263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(41.03)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07BF5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519EA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4F82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(38.46)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4AB34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5BEFD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1A386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(44.74)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01F6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</w:tr>
      <w:tr w14:paraId="318B6E3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23DEB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Extrapyramidal symptoms, n (%)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32516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76EE0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(38.46)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25755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21B319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6EF7F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(2.56)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39BFB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0AA68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(0.00)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324523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(2.63)</w:t>
            </w:r>
          </w:p>
        </w:tc>
        <w:tc>
          <w:tcPr>
            <w:tcW w:w="0" w:type="auto"/>
            <w:tcBorders>
              <w:bottom w:val="single" w:color="BEBEBE" w:themeColor="background1" w:themeShade="BF" w:sz="4" w:space="0"/>
            </w:tcBorders>
          </w:tcPr>
          <w:p w14:paraId="216EC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14:paraId="7DEC5F7F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bottom w:val="single" w:color="auto" w:sz="4" w:space="0"/>
            </w:tcBorders>
          </w:tcPr>
          <w:p w14:paraId="4D10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Falls/bed-related accidents, n (%)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0BE68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(7.89)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2671A1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(7.69)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70451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24AB6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(15.79)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5E229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(7.69)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70FF3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0ADE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(10.26)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041F6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(7.89)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443D4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</w:tbl>
    <w:p w14:paraId="70188A36">
      <w:pPr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z w:val="20"/>
          <w:szCs w:val="20"/>
        </w:rPr>
        <w:t>ote:</w:t>
      </w:r>
      <w:r>
        <w:rPr>
          <w:rFonts w:ascii="Times New Roman" w:hAnsi="Times New Roman" w:cs="Times New Roman"/>
          <w:sz w:val="20"/>
          <w:szCs w:val="20"/>
        </w:rPr>
        <w:t xml:space="preserve"> High and low SII subgroups were defined according to the cohort median baseline SII value of 926.9. Categorical variables are presented as n (%) and were compared using Fisher’s exact test. Because multiple within-drug comparisons were performed, P values were adjusted using the Holm method. These analyses were exploratory.</w:t>
      </w:r>
    </w:p>
    <w:p w14:paraId="57673B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B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  <w:style w:type="table" w:customStyle="1" w:styleId="6">
    <w:name w:val="Grid Table Light"/>
    <w:basedOn w:val="3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2026-03-24T01:28:03Z</dcterms:created>
  <dc:creator>aaa</dc:creator>
  <cp:lastModifiedBy>吉同岳</cp:lastModifiedBy>
  <dcterms:modified xsi:type="dcterms:W3CDTF">2026-03-24T01:28:24Z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eyJoZGlkIjoiYWNiZmQxZTE2N2ZjOTJlNDQzOTEwMmM2Mzg5NTRiYTYiLCJ1c2VySWQiOiI2MTUyMDc0MDYifQ==</vt:lpwstr>
  </property>
  <property fmtid="{D5CDD505-2E9C-101B-9397-08002B2CF9AE}" pid="4" name="ICV">
    <vt:lpwstr>C19A4F45380646AFB64A9F92A0F6806D_12</vt:lpwstr>
  </property>
</Properties>
</file>