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31A3F" w14:textId="61BD77D5" w:rsidR="002E2D75" w:rsidRPr="002E2D75" w:rsidRDefault="002E2D75" w:rsidP="002E2D75">
      <w:pPr>
        <w:spacing w:before="180" w:after="180" w:line="360" w:lineRule="auto"/>
        <w:jc w:val="both"/>
        <w:rPr>
          <w:rFonts w:ascii="Times New Roman" w:eastAsia="DengXian" w:hAnsi="Times New Roman" w:cs="Times New Roman"/>
          <w:kern w:val="0"/>
          <w:sz w:val="24"/>
          <w:szCs w:val="24"/>
          <w:lang w:val="en-US" w:eastAsia="zh-CN"/>
          <w14:ligatures w14:val="none"/>
        </w:rPr>
      </w:pPr>
      <w:r w:rsidRPr="00025541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val="en-US" w:eastAsia="zh-CN"/>
          <w14:ligatures w14:val="none"/>
        </w:rPr>
        <w:t>Supplementary Table S1</w:t>
      </w:r>
      <w:r w:rsidRPr="002E2D75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val="en-US" w:eastAsia="zh-CN"/>
          <w14:ligatures w14:val="none"/>
        </w:rPr>
        <w:t>. Crosswalk</w:t>
      </w:r>
      <w:r w:rsidR="00BB6AC9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2E2D75">
        <w:rPr>
          <w:rFonts w:ascii="Times New Roman" w:eastAsia="DengXian" w:hAnsi="Times New Roman" w:cs="Times New Roman"/>
          <w:b/>
          <w:bCs/>
          <w:kern w:val="0"/>
          <w:sz w:val="24"/>
          <w:szCs w:val="24"/>
          <w:lang w:val="en-US" w:eastAsia="zh-CN"/>
          <w14:ligatures w14:val="none"/>
        </w:rPr>
        <w:t>glossary of philosophical and clinical terms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3120"/>
        <w:gridCol w:w="3120"/>
        <w:gridCol w:w="3120"/>
      </w:tblGrid>
      <w:tr w:rsidR="002E2D75" w:rsidRPr="002E2D75" w14:paraId="00C49BF9" w14:textId="77777777" w:rsidTr="003233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640" w:type="dxa"/>
          </w:tcPr>
          <w:p w14:paraId="6E32CEC8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Philosophical term</w:t>
            </w:r>
          </w:p>
        </w:tc>
        <w:tc>
          <w:tcPr>
            <w:tcW w:w="2640" w:type="dxa"/>
          </w:tcPr>
          <w:p w14:paraId="2E33BE13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Clinical/contemplative equivalent</w:t>
            </w:r>
          </w:p>
        </w:tc>
        <w:tc>
          <w:tcPr>
            <w:tcW w:w="2640" w:type="dxa"/>
          </w:tcPr>
          <w:p w14:paraId="120FBCA4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Brief definition</w:t>
            </w:r>
          </w:p>
        </w:tc>
      </w:tr>
      <w:tr w:rsidR="002E2D75" w:rsidRPr="00025541" w14:paraId="2738583A" w14:textId="77777777" w:rsidTr="00323320">
        <w:tc>
          <w:tcPr>
            <w:tcW w:w="2640" w:type="dxa"/>
          </w:tcPr>
          <w:p w14:paraId="11A0625F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Reification / presence-at-hand (</w:t>
            </w:r>
            <w:proofErr w:type="spellStart"/>
            <w:r w:rsidRPr="002E2D75">
              <w:rPr>
                <w:rFonts w:ascii="Times New Roman" w:hAnsi="Times New Roman" w:cs="Times New Roman"/>
                <w:i/>
                <w:iCs/>
              </w:rPr>
              <w:t>Vorhandenheit</w:t>
            </w:r>
            <w:proofErr w:type="spellEnd"/>
            <w:r w:rsidRPr="002E2D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0" w:type="dxa"/>
          </w:tcPr>
          <w:p w14:paraId="50EA91DB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Cognitive fusion; psychological rigidity</w:t>
            </w:r>
          </w:p>
        </w:tc>
        <w:tc>
          <w:tcPr>
            <w:tcW w:w="2640" w:type="dxa"/>
          </w:tcPr>
          <w:p w14:paraId="51EA5E81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Treating the self as a fixed, describable object detached from lived engagement</w:t>
            </w:r>
          </w:p>
        </w:tc>
      </w:tr>
      <w:tr w:rsidR="002E2D75" w:rsidRPr="00025541" w14:paraId="576D6BFE" w14:textId="77777777" w:rsidTr="00323320">
        <w:tc>
          <w:tcPr>
            <w:tcW w:w="2640" w:type="dxa"/>
          </w:tcPr>
          <w:p w14:paraId="379D68FC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Idem-identity (sameness)</w:t>
            </w:r>
          </w:p>
        </w:tc>
        <w:tc>
          <w:tcPr>
            <w:tcW w:w="2640" w:type="dxa"/>
          </w:tcPr>
          <w:p w14:paraId="2CD16311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Rigid self-concept; over-identification</w:t>
            </w:r>
          </w:p>
        </w:tc>
        <w:tc>
          <w:tcPr>
            <w:tcW w:w="2640" w:type="dxa"/>
          </w:tcPr>
          <w:p w14:paraId="77D23CA5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The “what” of identity: stable predicates and categories that define the self</w:t>
            </w:r>
          </w:p>
        </w:tc>
      </w:tr>
      <w:tr w:rsidR="002E2D75" w:rsidRPr="00025541" w14:paraId="5E2ABA88" w14:textId="77777777" w:rsidTr="00323320">
        <w:tc>
          <w:tcPr>
            <w:tcW w:w="2640" w:type="dxa"/>
          </w:tcPr>
          <w:p w14:paraId="1BD4D866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 xml:space="preserve">Ipseity (selfhood, </w:t>
            </w:r>
            <w:r w:rsidRPr="002E2D75">
              <w:rPr>
                <w:rFonts w:ascii="Times New Roman" w:hAnsi="Times New Roman" w:cs="Times New Roman"/>
                <w:i/>
                <w:iCs/>
              </w:rPr>
              <w:t>ipse</w:t>
            </w:r>
            <w:r w:rsidRPr="002E2D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0" w:type="dxa"/>
          </w:tcPr>
          <w:p w14:paraId="4F7E94D3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Self-as-context; flexible self-awareness</w:t>
            </w:r>
          </w:p>
        </w:tc>
        <w:tc>
          <w:tcPr>
            <w:tcW w:w="2640" w:type="dxa"/>
          </w:tcPr>
          <w:p w14:paraId="46203F57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The “who” of identity: the relational, temporal mode of being that cannot be objectified</w:t>
            </w:r>
          </w:p>
        </w:tc>
      </w:tr>
      <w:tr w:rsidR="002E2D75" w:rsidRPr="00025541" w14:paraId="50726C19" w14:textId="77777777" w:rsidTr="00323320">
        <w:tc>
          <w:tcPr>
            <w:tcW w:w="2640" w:type="dxa"/>
          </w:tcPr>
          <w:p w14:paraId="2842C9A7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Constative language</w:t>
            </w:r>
          </w:p>
        </w:tc>
        <w:tc>
          <w:tcPr>
            <w:tcW w:w="2640" w:type="dxa"/>
          </w:tcPr>
          <w:p w14:paraId="253EC1C5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Literalized self-talk; narrative self-reference</w:t>
            </w:r>
          </w:p>
        </w:tc>
        <w:tc>
          <w:tcPr>
            <w:tcW w:w="2640" w:type="dxa"/>
          </w:tcPr>
          <w:p w14:paraId="739C5B96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Language that describes or states facts about the self as fixed truths</w:t>
            </w:r>
          </w:p>
        </w:tc>
      </w:tr>
      <w:tr w:rsidR="002E2D75" w:rsidRPr="00025541" w14:paraId="68510843" w14:textId="77777777" w:rsidTr="00323320">
        <w:tc>
          <w:tcPr>
            <w:tcW w:w="2640" w:type="dxa"/>
          </w:tcPr>
          <w:p w14:paraId="50A9D66B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Performative language</w:t>
            </w:r>
          </w:p>
        </w:tc>
        <w:tc>
          <w:tcPr>
            <w:tcW w:w="2640" w:type="dxa"/>
          </w:tcPr>
          <w:p w14:paraId="1E93B0D2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Defused or experiential speech</w:t>
            </w:r>
          </w:p>
        </w:tc>
        <w:tc>
          <w:tcPr>
            <w:tcW w:w="2640" w:type="dxa"/>
          </w:tcPr>
          <w:p w14:paraId="22F33BFC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Language that enacts or constitutes a mode of relating rather than describing</w:t>
            </w:r>
          </w:p>
        </w:tc>
      </w:tr>
      <w:tr w:rsidR="002E2D75" w:rsidRPr="00025541" w14:paraId="7FCCFB39" w14:textId="77777777" w:rsidTr="00323320">
        <w:tc>
          <w:tcPr>
            <w:tcW w:w="2640" w:type="dxa"/>
          </w:tcPr>
          <w:p w14:paraId="07B6EAC1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Direct reference</w:t>
            </w:r>
          </w:p>
        </w:tc>
        <w:tc>
          <w:tcPr>
            <w:tcW w:w="2640" w:type="dxa"/>
          </w:tcPr>
          <w:p w14:paraId="0F589D9F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Experiential awareness; felt sense</w:t>
            </w:r>
          </w:p>
        </w:tc>
        <w:tc>
          <w:tcPr>
            <w:tcW w:w="2640" w:type="dxa"/>
          </w:tcPr>
          <w:p w14:paraId="55A39661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Meaning arising from lived experience without objectification</w:t>
            </w:r>
          </w:p>
        </w:tc>
      </w:tr>
      <w:tr w:rsidR="002E2D75" w:rsidRPr="00025541" w14:paraId="69360191" w14:textId="77777777" w:rsidTr="00323320">
        <w:tc>
          <w:tcPr>
            <w:tcW w:w="2640" w:type="dxa"/>
          </w:tcPr>
          <w:p w14:paraId="75CEC0CD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Indirect reference</w:t>
            </w:r>
          </w:p>
        </w:tc>
        <w:tc>
          <w:tcPr>
            <w:tcW w:w="2640" w:type="dxa"/>
          </w:tcPr>
          <w:p w14:paraId="17C7657F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Conceptual/representational self-reference</w:t>
            </w:r>
          </w:p>
        </w:tc>
        <w:tc>
          <w:tcPr>
            <w:tcW w:w="2640" w:type="dxa"/>
          </w:tcPr>
          <w:p w14:paraId="578D77B3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Meaning mediated through abstract categories that objectivize experience</w:t>
            </w:r>
          </w:p>
        </w:tc>
      </w:tr>
      <w:tr w:rsidR="002E2D75" w:rsidRPr="00025541" w14:paraId="51E17C81" w14:textId="77777777" w:rsidTr="00323320">
        <w:tc>
          <w:tcPr>
            <w:tcW w:w="2640" w:type="dxa"/>
          </w:tcPr>
          <w:p w14:paraId="57E6F4F6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Indeterminacy of the self</w:t>
            </w:r>
          </w:p>
        </w:tc>
        <w:tc>
          <w:tcPr>
            <w:tcW w:w="2640" w:type="dxa"/>
          </w:tcPr>
          <w:p w14:paraId="525060AD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Psychological flexibility; openness to experience</w:t>
            </w:r>
          </w:p>
        </w:tc>
        <w:tc>
          <w:tcPr>
            <w:tcW w:w="2640" w:type="dxa"/>
          </w:tcPr>
          <w:p w14:paraId="7099A87B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The absence of a final, fixed ground for self-definition</w:t>
            </w:r>
          </w:p>
        </w:tc>
      </w:tr>
      <w:tr w:rsidR="002E2D75" w:rsidRPr="00025541" w14:paraId="3DD36C1A" w14:textId="77777777" w:rsidTr="00025541">
        <w:tc>
          <w:tcPr>
            <w:tcW w:w="2640" w:type="dxa"/>
          </w:tcPr>
          <w:p w14:paraId="52724A96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  <w:i/>
                <w:iCs/>
              </w:rPr>
              <w:lastRenderedPageBreak/>
              <w:t>Angst</w:t>
            </w:r>
            <w:r w:rsidRPr="002E2D75">
              <w:rPr>
                <w:rFonts w:ascii="Times New Roman" w:hAnsi="Times New Roman" w:cs="Times New Roman"/>
              </w:rPr>
              <w:t xml:space="preserve"> (existential anxiety)</w:t>
            </w:r>
          </w:p>
        </w:tc>
        <w:tc>
          <w:tcPr>
            <w:tcW w:w="2640" w:type="dxa"/>
          </w:tcPr>
          <w:p w14:paraId="05A441A6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Distress tolerance; affect regulation in transition</w:t>
            </w:r>
          </w:p>
        </w:tc>
        <w:tc>
          <w:tcPr>
            <w:tcW w:w="2640" w:type="dxa"/>
          </w:tcPr>
          <w:p w14:paraId="09773907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Anxiety arising from confrontation with the groundlessness of existence</w:t>
            </w:r>
          </w:p>
        </w:tc>
      </w:tr>
      <w:tr w:rsidR="002E2D75" w:rsidRPr="00025541" w14:paraId="346D7D9D" w14:textId="77777777" w:rsidTr="00025541">
        <w:tc>
          <w:tcPr>
            <w:tcW w:w="2640" w:type="dxa"/>
            <w:tcBorders>
              <w:bottom w:val="single" w:sz="4" w:space="0" w:color="auto"/>
            </w:tcBorders>
          </w:tcPr>
          <w:p w14:paraId="72E701E0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Non-duality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233FE5D0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Decentering; non-attachment to self-narratives</w:t>
            </w:r>
          </w:p>
        </w:tc>
        <w:tc>
          <w:tcPr>
            <w:tcW w:w="2640" w:type="dxa"/>
            <w:tcBorders>
              <w:bottom w:val="single" w:sz="4" w:space="0" w:color="auto"/>
            </w:tcBorders>
          </w:tcPr>
          <w:p w14:paraId="656024B7" w14:textId="77777777" w:rsidR="002E2D75" w:rsidRPr="002E2D75" w:rsidRDefault="002E2D75" w:rsidP="002E2D75">
            <w:pPr>
              <w:spacing w:before="36" w:after="36" w:line="360" w:lineRule="auto"/>
              <w:jc w:val="both"/>
              <w:rPr>
                <w:rFonts w:ascii="Times New Roman" w:hAnsi="Times New Roman" w:cs="Times New Roman"/>
              </w:rPr>
            </w:pPr>
            <w:r w:rsidRPr="002E2D75">
              <w:rPr>
                <w:rFonts w:ascii="Times New Roman" w:hAnsi="Times New Roman" w:cs="Times New Roman"/>
              </w:rPr>
              <w:t>The experiential recognition that self and experience lack fixed, independent essence</w:t>
            </w:r>
          </w:p>
        </w:tc>
      </w:tr>
    </w:tbl>
    <w:p w14:paraId="6778B08C" w14:textId="77777777" w:rsidR="002E2D75" w:rsidRPr="002E2D75" w:rsidRDefault="002E2D75" w:rsidP="002E2D75">
      <w:pPr>
        <w:spacing w:before="180" w:after="180" w:line="240" w:lineRule="auto"/>
        <w:rPr>
          <w:rFonts w:ascii="Aptos" w:eastAsia="DengXian" w:hAnsi="Aptos" w:cs="Times New Roman"/>
          <w:kern w:val="0"/>
          <w:sz w:val="24"/>
          <w:szCs w:val="24"/>
          <w:lang w:val="en-US" w:eastAsia="zh-CN"/>
          <w14:ligatures w14:val="none"/>
        </w:rPr>
      </w:pPr>
    </w:p>
    <w:p w14:paraId="1FE502C9" w14:textId="77777777" w:rsidR="000D3B0E" w:rsidRPr="002E2D75" w:rsidRDefault="000D3B0E">
      <w:pPr>
        <w:rPr>
          <w:lang w:val="en-US"/>
        </w:rPr>
      </w:pPr>
    </w:p>
    <w:sectPr w:rsidR="000D3B0E" w:rsidRPr="002E2D75" w:rsidSect="002E2D75">
      <w:footnotePr>
        <w:numRestart w:val="eachSect"/>
      </w:footnote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D75"/>
    <w:rsid w:val="00025541"/>
    <w:rsid w:val="000D3B0E"/>
    <w:rsid w:val="001C0E1B"/>
    <w:rsid w:val="002E2D75"/>
    <w:rsid w:val="009349BB"/>
    <w:rsid w:val="00AD4D42"/>
    <w:rsid w:val="00BB6AC9"/>
    <w:rsid w:val="00D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433D0"/>
  <w15:chartTrackingRefBased/>
  <w15:docId w15:val="{77A46045-A048-49B6-9C11-B02081AB0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E2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E2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E2D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E2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E2D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E2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E2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E2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E2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E2D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E2D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E2D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E2D7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E2D7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E2D7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E2D7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E2D7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E2D7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E2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E2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E2D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E2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E2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E2D7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E2D7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E2D7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E2D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E2D7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E2D75"/>
    <w:rPr>
      <w:b/>
      <w:bCs/>
      <w:smallCaps/>
      <w:color w:val="2F5496" w:themeColor="accent1" w:themeShade="BF"/>
      <w:spacing w:val="5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E2D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E2D75"/>
    <w:rPr>
      <w:sz w:val="20"/>
      <w:szCs w:val="20"/>
    </w:rPr>
  </w:style>
  <w:style w:type="table" w:customStyle="1" w:styleId="Table">
    <w:name w:val="Table"/>
    <w:semiHidden/>
    <w:unhideWhenUsed/>
    <w:qFormat/>
    <w:rsid w:val="002E2D75"/>
    <w:pPr>
      <w:spacing w:after="200" w:line="240" w:lineRule="auto"/>
    </w:pPr>
    <w:rPr>
      <w:rFonts w:eastAsia="DengXian"/>
      <w:kern w:val="0"/>
      <w:sz w:val="24"/>
      <w:szCs w:val="24"/>
      <w:lang w:val="en-US" w:eastAsia="zh-CN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character" w:styleId="Refdecomentario">
    <w:name w:val="annotation reference"/>
    <w:basedOn w:val="Fuentedeprrafopredeter"/>
    <w:rsid w:val="002E2D7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242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Lamas</dc:creator>
  <cp:keywords/>
  <dc:description/>
  <cp:lastModifiedBy>Paulina Lamas</cp:lastModifiedBy>
  <cp:revision>3</cp:revision>
  <dcterms:created xsi:type="dcterms:W3CDTF">2026-05-04T09:53:00Z</dcterms:created>
  <dcterms:modified xsi:type="dcterms:W3CDTF">2026-05-04T12:52:00Z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f8695213-71c4-4655-a4b2-42aefb4ea966</vt:lpwstr>
  </property>
</Properties>
</file>