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7DE" w:rsidRDefault="004B655C" w:rsidP="004B655C">
      <w:pPr>
        <w:jc w:val="center"/>
        <w:rPr>
          <w:rStyle w:val="a7"/>
          <w:rFonts w:ascii="Times New Roman" w:hAnsi="Times New Roman" w:cs="Times New Roman"/>
          <w:sz w:val="30"/>
          <w:szCs w:val="30"/>
        </w:rPr>
      </w:pPr>
      <w:r w:rsidRPr="004B655C">
        <w:rPr>
          <w:rStyle w:val="a7"/>
          <w:rFonts w:ascii="Times New Roman" w:hAnsi="Times New Roman" w:cs="Times New Roman"/>
          <w:sz w:val="30"/>
          <w:szCs w:val="30"/>
        </w:rPr>
        <w:t xml:space="preserve">Supplementary </w:t>
      </w:r>
      <w:r w:rsidR="00D26E5A">
        <w:rPr>
          <w:rStyle w:val="a7"/>
          <w:rFonts w:ascii="Times New Roman" w:hAnsi="Times New Roman" w:cs="Times New Roman"/>
          <w:sz w:val="30"/>
          <w:szCs w:val="30"/>
        </w:rPr>
        <w:t>Materials</w:t>
      </w:r>
      <w:r w:rsidRPr="004B655C">
        <w:rPr>
          <w:rStyle w:val="a7"/>
          <w:rFonts w:ascii="Times New Roman" w:hAnsi="Times New Roman" w:cs="Times New Roman"/>
          <w:sz w:val="30"/>
          <w:szCs w:val="30"/>
        </w:rPr>
        <w:t xml:space="preserve"> Index</w:t>
      </w:r>
    </w:p>
    <w:p w:rsidR="004B655C" w:rsidRPr="004B655C" w:rsidRDefault="004B655C" w:rsidP="004B655C">
      <w:pPr>
        <w:pStyle w:val="ds-markdown-paragraph"/>
        <w:rPr>
          <w:rFonts w:ascii="Times New Roman" w:hAnsi="Times New Roman" w:cs="Times New Roman"/>
        </w:rPr>
      </w:pPr>
      <w:r w:rsidRPr="004B655C">
        <w:rPr>
          <w:rFonts w:ascii="Times New Roman" w:hAnsi="Times New Roman" w:cs="Times New Roman"/>
        </w:rPr>
        <w:t xml:space="preserve">This document contains supplementary tables and figures for the manuscript entitled </w:t>
      </w:r>
      <w:r w:rsidRPr="004B655C">
        <w:rPr>
          <w:rStyle w:val="a7"/>
          <w:rFonts w:ascii="Times New Roman" w:hAnsi="Times New Roman" w:cs="Times New Roman"/>
        </w:rPr>
        <w:t>“Causal Relationship Between Vitamin D and Anxiety and Depression: A Bidirectional Mendelian Randomization Study”</w:t>
      </w:r>
      <w:r w:rsidRPr="004B655C">
        <w:rPr>
          <w:rFonts w:ascii="Times New Roman" w:hAnsi="Times New Roman" w:cs="Times New Roman"/>
        </w:rPr>
        <w:t>.</w:t>
      </w:r>
    </w:p>
    <w:p w:rsidR="004B655C" w:rsidRPr="004B655C" w:rsidRDefault="004B655C" w:rsidP="004B655C">
      <w:pPr>
        <w:pStyle w:val="ds-markdown-paragraph"/>
        <w:rPr>
          <w:rFonts w:ascii="Times New Roman" w:hAnsi="Times New Roman" w:cs="Times New Roman"/>
        </w:rPr>
      </w:pPr>
      <w:r w:rsidRPr="004B655C">
        <w:rPr>
          <w:rFonts w:ascii="Times New Roman" w:hAnsi="Times New Roman" w:cs="Times New Roman"/>
        </w:rPr>
        <w:t>The supplementary materials are organized as follows:</w:t>
      </w:r>
    </w:p>
    <w:p w:rsidR="00D26E5A" w:rsidRPr="00D26E5A" w:rsidRDefault="00D26E5A" w:rsidP="00D26E5A">
      <w:pPr>
        <w:widowControl/>
        <w:jc w:val="left"/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</w:pPr>
      <w:r w:rsidRPr="00D26E5A">
        <w:rPr>
          <w:rStyle w:val="a7"/>
          <w:rFonts w:ascii="Times New Roman" w:eastAsia="宋体" w:hAnsi="Times New Roman" w:cs="Times New Roman"/>
          <w:kern w:val="0"/>
          <w:sz w:val="24"/>
          <w:szCs w:val="24"/>
        </w:rPr>
        <w:t>Supplementary Table 1.</w:t>
      </w:r>
      <w:r w:rsidRPr="00D26E5A"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  <w:t xml:space="preserve"> Information on the 26 vitamin D–related SNPs used as instrumental variables in the depression analysis.  </w:t>
      </w:r>
    </w:p>
    <w:p w:rsidR="00D26E5A" w:rsidRPr="00D26E5A" w:rsidRDefault="00D26E5A" w:rsidP="00D26E5A">
      <w:pPr>
        <w:widowControl/>
        <w:jc w:val="left"/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</w:pPr>
      <w:r w:rsidRPr="00D26E5A"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  <w:t>*(Corresponds to the section “MR Analysis of 25-Hydroxyvitamin D Levels and Depression” in the main text.)*</w:t>
      </w:r>
    </w:p>
    <w:p w:rsidR="00D26E5A" w:rsidRPr="00D26E5A" w:rsidRDefault="00D26E5A" w:rsidP="00D26E5A">
      <w:pPr>
        <w:widowControl/>
        <w:jc w:val="left"/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</w:pPr>
    </w:p>
    <w:p w:rsidR="00D26E5A" w:rsidRPr="00D26E5A" w:rsidRDefault="00D26E5A" w:rsidP="00D26E5A">
      <w:pPr>
        <w:widowControl/>
        <w:jc w:val="left"/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</w:pPr>
      <w:r w:rsidRPr="00D26E5A">
        <w:rPr>
          <w:rStyle w:val="a7"/>
          <w:rFonts w:ascii="Times New Roman" w:eastAsia="宋体" w:hAnsi="Times New Roman" w:cs="Times New Roman"/>
          <w:kern w:val="0"/>
          <w:sz w:val="24"/>
          <w:szCs w:val="24"/>
        </w:rPr>
        <w:t>Supplementary Table 2.</w:t>
      </w:r>
      <w:r w:rsidRPr="00D26E5A"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  <w:t xml:space="preserve"> Information on the 30 vitamin D–related SNPs used as instrumental variables in the anxiety analysis.  </w:t>
      </w:r>
    </w:p>
    <w:p w:rsidR="00D26E5A" w:rsidRPr="00D26E5A" w:rsidRDefault="00D26E5A" w:rsidP="00D26E5A">
      <w:pPr>
        <w:widowControl/>
        <w:jc w:val="left"/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</w:pPr>
      <w:r w:rsidRPr="00D26E5A"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  <w:t>*(Corresponds to the section “MR Analysis of 25-Hydroxyvitamin D Levels and Anxiety” in the main text.)*</w:t>
      </w:r>
    </w:p>
    <w:p w:rsidR="00D26E5A" w:rsidRPr="00D26E5A" w:rsidRDefault="00D26E5A" w:rsidP="00D26E5A">
      <w:pPr>
        <w:widowControl/>
        <w:jc w:val="left"/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</w:pPr>
    </w:p>
    <w:p w:rsidR="005054E6" w:rsidRDefault="005054E6" w:rsidP="00D26E5A">
      <w:pPr>
        <w:widowControl/>
        <w:jc w:val="left"/>
        <w:rPr>
          <w:rStyle w:val="a7"/>
          <w:rFonts w:ascii="Times New Roman" w:eastAsia="宋体" w:hAnsi="Times New Roman" w:cs="Times New Roman"/>
          <w:kern w:val="0"/>
          <w:sz w:val="24"/>
          <w:szCs w:val="24"/>
        </w:rPr>
      </w:pPr>
      <w:r w:rsidRPr="005054E6">
        <w:rPr>
          <w:rStyle w:val="a7"/>
          <w:rFonts w:ascii="Times New Roman" w:eastAsia="宋体" w:hAnsi="Times New Roman" w:cs="Times New Roman"/>
          <w:kern w:val="0"/>
          <w:sz w:val="24"/>
          <w:szCs w:val="24"/>
        </w:rPr>
        <w:t xml:space="preserve">Supplementary Figure 1. </w:t>
      </w:r>
      <w:r w:rsidRPr="005054E6"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  <w:t>Reverse MR analysis of the effect of genetic liability to depression on serum 25-hydroxyvitamin D [25(OH)D] levels.</w:t>
      </w:r>
    </w:p>
    <w:p w:rsidR="00D26E5A" w:rsidRPr="00D26E5A" w:rsidRDefault="00D26E5A" w:rsidP="00D26E5A">
      <w:pPr>
        <w:widowControl/>
        <w:jc w:val="left"/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</w:pPr>
      <w:r w:rsidRPr="00D26E5A"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  <w:t>*(Corresponds to the “Reverse MR Analysis” section in the main text.)*</w:t>
      </w:r>
    </w:p>
    <w:p w:rsidR="00D26E5A" w:rsidRPr="00D26E5A" w:rsidRDefault="00D26E5A" w:rsidP="00D26E5A">
      <w:pPr>
        <w:widowControl/>
        <w:jc w:val="left"/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</w:pPr>
    </w:p>
    <w:p w:rsidR="00D26E5A" w:rsidRPr="005054E6" w:rsidRDefault="005054E6" w:rsidP="00D26E5A">
      <w:pPr>
        <w:widowControl/>
        <w:jc w:val="left"/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</w:pPr>
      <w:r w:rsidRPr="005054E6">
        <w:rPr>
          <w:rStyle w:val="a7"/>
          <w:rFonts w:ascii="Times New Roman" w:eastAsia="宋体" w:hAnsi="Times New Roman" w:cs="Times New Roman"/>
          <w:kern w:val="0"/>
          <w:sz w:val="24"/>
          <w:szCs w:val="24"/>
        </w:rPr>
        <w:t xml:space="preserve">Supplementary Figure 2. </w:t>
      </w:r>
      <w:r w:rsidRPr="005054E6"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  <w:t>Reverse MR analysis of the effect of genetic liability to anxiety on serum 25-hydroxyvitamin D [25(OH)D] levels.</w:t>
      </w:r>
      <w:r w:rsidR="00D26E5A" w:rsidRPr="005054E6"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  <w:t xml:space="preserve"> </w:t>
      </w:r>
    </w:p>
    <w:p w:rsidR="004B655C" w:rsidRPr="00D26E5A" w:rsidRDefault="00D26E5A" w:rsidP="00D26E5A">
      <w:pPr>
        <w:widowControl/>
        <w:jc w:val="left"/>
        <w:rPr>
          <w:rFonts w:ascii="Times New Roman" w:eastAsia="楷体" w:hAnsi="Times New Roman" w:cs="Times New Roman"/>
          <w:kern w:val="0"/>
          <w:sz w:val="20"/>
          <w:szCs w:val="20"/>
          <w:shd w:val="clear" w:color="auto" w:fill="FFFFFF"/>
          <w:lang w:val="en-NZ" w:eastAsia="en-US"/>
        </w:rPr>
      </w:pPr>
      <w:r w:rsidRPr="00D26E5A">
        <w:rPr>
          <w:rStyle w:val="a7"/>
          <w:rFonts w:ascii="Times New Roman" w:eastAsia="宋体" w:hAnsi="Times New Roman" w:cs="Times New Roman"/>
          <w:b w:val="0"/>
          <w:kern w:val="0"/>
          <w:sz w:val="24"/>
          <w:szCs w:val="24"/>
        </w:rPr>
        <w:t>*(Corresponds to the “Reverse MR Analysis” section in the main text.)*</w:t>
      </w:r>
    </w:p>
    <w:p w:rsidR="004B655C" w:rsidRPr="00D26E5A" w:rsidRDefault="004B655C">
      <w:pPr>
        <w:widowControl/>
        <w:jc w:val="left"/>
        <w:rPr>
          <w:rFonts w:ascii="Times New Roman" w:eastAsia="楷体" w:hAnsi="Times New Roman" w:cs="Times New Roman"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Pr="00D26E5A" w:rsidRDefault="004B655C">
      <w:pPr>
        <w:widowControl/>
        <w:jc w:val="left"/>
        <w:rPr>
          <w:rFonts w:ascii="Times New Roman" w:eastAsia="楷体" w:hAnsi="Times New Roman" w:cs="Times New Roman"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Pr="00D26E5A" w:rsidRDefault="004B655C">
      <w:pPr>
        <w:widowControl/>
        <w:jc w:val="left"/>
        <w:rPr>
          <w:rFonts w:ascii="Times New Roman" w:eastAsia="楷体" w:hAnsi="Times New Roman" w:cs="Times New Roman"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Default="004B655C">
      <w:pPr>
        <w:widowControl/>
        <w:jc w:val="left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  <w:r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  <w:br w:type="page"/>
      </w:r>
    </w:p>
    <w:p w:rsidR="004B655C" w:rsidRPr="00E04C32" w:rsidRDefault="004B655C" w:rsidP="004B655C">
      <w:pPr>
        <w:widowControl/>
        <w:jc w:val="center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  <w:r w:rsidRPr="00E04C32">
        <w:rPr>
          <w:rFonts w:ascii="Times New Roman" w:eastAsia="楷体" w:hAnsi="Times New Roman" w:cs="Times New Roman" w:hint="eastAsia"/>
          <w:b/>
          <w:kern w:val="0"/>
          <w:sz w:val="20"/>
          <w:szCs w:val="20"/>
          <w:shd w:val="clear" w:color="auto" w:fill="FFFFFF"/>
          <w:lang w:val="en-NZ" w:eastAsia="en-US"/>
        </w:rPr>
        <w:lastRenderedPageBreak/>
        <w:t xml:space="preserve">Supplementary table </w:t>
      </w:r>
      <w:r w:rsidRPr="00E04C32"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  <w:t>1</w:t>
      </w:r>
      <w:r w:rsidRPr="00E04C32">
        <w:rPr>
          <w:rFonts w:ascii="Times New Roman" w:eastAsia="楷体" w:hAnsi="Times New Roman" w:cs="Times New Roman" w:hint="eastAsia"/>
          <w:b/>
          <w:kern w:val="0"/>
          <w:sz w:val="20"/>
          <w:szCs w:val="20"/>
          <w:shd w:val="clear" w:color="auto" w:fill="FFFFFF"/>
          <w:lang w:val="en-NZ" w:eastAsia="en-US"/>
        </w:rPr>
        <w:t xml:space="preserve">. The information of 26 vitamin-D </w:t>
      </w:r>
      <w:r w:rsidRPr="00E04C32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NZ" w:eastAsia="en-US"/>
        </w:rPr>
        <w:t xml:space="preserve">relevant </w:t>
      </w:r>
      <w:r w:rsidRPr="00E04C32">
        <w:rPr>
          <w:rFonts w:ascii="Times New Roman" w:eastAsia="楷体" w:hAnsi="Times New Roman" w:cs="Times New Roman" w:hint="eastAsia"/>
          <w:b/>
          <w:kern w:val="0"/>
          <w:sz w:val="20"/>
          <w:szCs w:val="20"/>
          <w:shd w:val="clear" w:color="auto" w:fill="FFFFFF"/>
          <w:lang w:val="en-NZ" w:eastAsia="en-US"/>
        </w:rPr>
        <w:t>SNPs for depression</w:t>
      </w:r>
    </w:p>
    <w:p w:rsidR="004B655C" w:rsidRPr="004B655C" w:rsidRDefault="004B655C" w:rsidP="004B655C">
      <w:pPr>
        <w:widowControl/>
        <w:jc w:val="left"/>
        <w:rPr>
          <w:rFonts w:ascii="Times New Roman" w:eastAsia="楷体" w:hAnsi="Times New Roman" w:cs="Times New Roman"/>
          <w:kern w:val="0"/>
          <w:sz w:val="18"/>
          <w:szCs w:val="18"/>
          <w:shd w:val="clear" w:color="auto" w:fill="FFFFFF"/>
          <w:lang w:val="en-NZ" w:eastAsia="en-US"/>
        </w:rPr>
      </w:pPr>
    </w:p>
    <w:tbl>
      <w:tblPr>
        <w:tblW w:w="7636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256"/>
        <w:gridCol w:w="1099"/>
        <w:gridCol w:w="1267"/>
        <w:gridCol w:w="1267"/>
        <w:gridCol w:w="1267"/>
      </w:tblGrid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SNP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effect size (β)</w:t>
            </w: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standard error (SE)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p-value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R²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F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rs10859995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-0.0402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1.60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 w:rsidRP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-90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0.0312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636.4576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rs11076175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0.0227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752047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1.27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 w:rsidRP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18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0.0136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971.7393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rs113209890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-0.0498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0.0032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752047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1.37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-53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0.0238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730.9056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rs12056768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-0.0216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2.82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27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0.0167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875.4799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rs12123821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0.0771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0.0046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9.58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63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0.0259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701.0415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rs1260326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0.0206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1.17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24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0.0159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899.7865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rs140589749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-0.0238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4.31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20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0.0142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951.5974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rs141509989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-0.0755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0.0076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1.84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23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0.0154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912.0509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rs142158911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0.0272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0.0031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2.04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18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0.0135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974.7306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rs146128209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-0.0455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0.0038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2.44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32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0.0183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836.2147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rs1532085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0.0244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1.09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33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0.0187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827.0964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rs1792287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0.0217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3.24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22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0.0150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925.7340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rs1800588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-0.0308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4.27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38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0.0200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800.3203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rs182244780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-0.3271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0.0087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1.00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0.0467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515.9405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rs2012736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-0.0455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0.0036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2.58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36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0.0195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810.6258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rs212100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-0.0603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4.44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114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0.0351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598.8505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rs2131925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-0.0211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9.50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0.0159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898.8749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rs2352974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0.0168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2.22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17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0.0131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990.5365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rs28437159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0.0557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1.87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92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0.0315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632.9269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lastRenderedPageBreak/>
              <w:t>rs35408430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-0.0208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1.20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752047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23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0.0155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910.0668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rs35846253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-0.0615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7.71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130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0.0375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578.7860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rs4536175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-0.0594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5.94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181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0.0443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530.2761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rs6123359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0.0318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0.0033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2.04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22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0.0151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923.4616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rs6782190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-0.0189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3.72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20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0.0142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950.7754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rs736894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-0.0978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1.00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0.0467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515.9405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rs7528419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0.0199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0.0024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3.35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 × 10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-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  <w:lang w:val="en-NZ" w:eastAsia="en-US" w:bidi="ar"/>
              </w:rPr>
              <w:t>17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0.0131 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993.3896 </w:t>
            </w:r>
          </w:p>
        </w:tc>
      </w:tr>
    </w:tbl>
    <w:p w:rsidR="004B655C" w:rsidRPr="004B655C" w:rsidRDefault="004B655C" w:rsidP="004B655C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</w:pPr>
    </w:p>
    <w:p w:rsidR="004B655C" w:rsidRPr="004B655C" w:rsidRDefault="004B655C" w:rsidP="004B655C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</w:pPr>
      <w:r w:rsidRPr="004B655C"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  <w:t xml:space="preserve">Note: </w:t>
      </w:r>
      <w:r w:rsidRPr="004B655C">
        <w:rPr>
          <w:rFonts w:ascii="Times New Roman" w:eastAsia="楷体" w:hAnsi="Times New Roman" w:cs="Times New Roman"/>
          <w:kern w:val="0"/>
          <w:sz w:val="20"/>
          <w:szCs w:val="20"/>
          <w:shd w:val="clear" w:color="auto" w:fill="FFFFFF"/>
          <w:lang w:val="en-NZ" w:eastAsia="en-US"/>
        </w:rPr>
        <w:t>SNP = single nucleotide polymorphism;</w:t>
      </w:r>
      <w:r w:rsidRPr="004B655C"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  <w:t xml:space="preserve"> β = beta coefficient; SE = standard error; R² = proportion of variance explained by the SNP in the exposure; F = F-statistic for instrument strength.</w:t>
      </w:r>
    </w:p>
    <w:p w:rsidR="004B655C" w:rsidRDefault="004B655C" w:rsidP="004B655C">
      <w:pPr>
        <w:jc w:val="center"/>
        <w:rPr>
          <w:rFonts w:ascii="Times New Roman" w:hAnsi="Times New Roman" w:cs="Times New Roman"/>
          <w:sz w:val="30"/>
          <w:szCs w:val="30"/>
          <w:lang w:val="en-NZ"/>
        </w:rPr>
      </w:pPr>
    </w:p>
    <w:p w:rsidR="004B655C" w:rsidRPr="00E04C32" w:rsidRDefault="004B655C" w:rsidP="004B655C">
      <w:pPr>
        <w:widowControl/>
        <w:jc w:val="center"/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</w:pPr>
      <w:r w:rsidRPr="00E04C32"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  <w:t xml:space="preserve">Supplementary table 2. The information of 30 vitamin-D </w:t>
      </w:r>
      <w:r w:rsidRPr="00E04C32">
        <w:rPr>
          <w:rFonts w:ascii="Times New Roman" w:eastAsia="宋体" w:hAnsi="Times New Roman" w:cs="Times New Roman"/>
          <w:b/>
          <w:kern w:val="0"/>
          <w:sz w:val="20"/>
          <w:szCs w:val="20"/>
          <w:lang w:val="en-NZ" w:eastAsia="en-US"/>
        </w:rPr>
        <w:t xml:space="preserve">relevant </w:t>
      </w:r>
      <w:r w:rsidRPr="00E04C32">
        <w:rPr>
          <w:rFonts w:ascii="Times New Roman" w:eastAsia="楷体" w:hAnsi="Times New Roman" w:cs="Times New Roman"/>
          <w:b/>
          <w:kern w:val="0"/>
          <w:sz w:val="20"/>
          <w:szCs w:val="20"/>
          <w:shd w:val="clear" w:color="auto" w:fill="FFFFFF"/>
          <w:lang w:val="en-NZ" w:eastAsia="en-US"/>
        </w:rPr>
        <w:t>SNPs for anxiety</w:t>
      </w:r>
    </w:p>
    <w:p w:rsidR="004B655C" w:rsidRPr="004B655C" w:rsidRDefault="004B655C" w:rsidP="004B655C">
      <w:pPr>
        <w:widowControl/>
        <w:jc w:val="left"/>
        <w:rPr>
          <w:rFonts w:ascii="Times New Roman" w:eastAsia="楷体" w:hAnsi="Times New Roman" w:cs="Times New Roman"/>
          <w:kern w:val="0"/>
          <w:sz w:val="20"/>
          <w:szCs w:val="20"/>
          <w:shd w:val="clear" w:color="auto" w:fill="FFFFFF"/>
          <w:lang w:val="en-NZ" w:eastAsia="en-US"/>
        </w:rPr>
      </w:pPr>
    </w:p>
    <w:tbl>
      <w:tblPr>
        <w:tblW w:w="8070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1515"/>
        <w:gridCol w:w="1080"/>
        <w:gridCol w:w="1080"/>
        <w:gridCol w:w="1515"/>
        <w:gridCol w:w="1515"/>
      </w:tblGrid>
      <w:tr w:rsidR="004B655C" w:rsidRPr="004B655C" w:rsidTr="00365729">
        <w:trPr>
          <w:trHeight w:val="315"/>
          <w:jc w:val="center"/>
        </w:trPr>
        <w:tc>
          <w:tcPr>
            <w:tcW w:w="1365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SNP</w:t>
            </w:r>
          </w:p>
        </w:tc>
        <w:tc>
          <w:tcPr>
            <w:tcW w:w="1515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effect size (β)</w:t>
            </w:r>
          </w:p>
        </w:tc>
        <w:tc>
          <w:tcPr>
            <w:tcW w:w="1080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standard error (SE)</w:t>
            </w:r>
          </w:p>
        </w:tc>
        <w:tc>
          <w:tcPr>
            <w:tcW w:w="1080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p-value</w:t>
            </w:r>
          </w:p>
        </w:tc>
        <w:tc>
          <w:tcPr>
            <w:tcW w:w="1515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R²</w:t>
            </w:r>
          </w:p>
        </w:tc>
        <w:tc>
          <w:tcPr>
            <w:tcW w:w="1515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F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rs10859995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0.3026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2951.2703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rs11076175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0.8182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6254.1790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rs112072036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0.2273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2726.8520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rs12056768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0.6367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4362.3354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rs12123821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0.1800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2587.2253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rs1260326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0.1123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2376.9643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rs12803256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0.1642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2539.9408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rs142158911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0.0011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0.0158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1926.8337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rs1532085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0.8300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6471.1855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lastRenderedPageBreak/>
              <w:t>rs1660870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0.4116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3307.6085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rs1800588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0.8605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7152.2890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rs1993116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0.1319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2440.4118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rs2012736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0.5787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4022.6840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rs212100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0.4054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3285.7353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rs2131925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0.9329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10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,</w:t>
            </w: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334.3239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rs2352974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0.9347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10</w:t>
            </w:r>
            <w:r w:rsidR="0050054D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,</w:t>
            </w: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473.6310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rs2585442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0.0699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2224.3672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rs35408430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0.1525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2504.6023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rs4306928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0.2137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2686.7715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rs4694423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0.6564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4494.3796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rs6123359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0.6911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4755.6959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rs61815559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0.6089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4190.8381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rs6782190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1863.1871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rs71601787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0.3254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3022.0236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rs72868074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0.3075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2966.5350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rs7439366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0.2753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2868.8965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rs7528419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0.1980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2640.7541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rs8018720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0.8531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6968.1174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rs8107974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-0.0002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0.7745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5602.1453 </w:t>
            </w:r>
          </w:p>
        </w:tc>
      </w:tr>
      <w:tr w:rsidR="004B655C" w:rsidRPr="004B655C" w:rsidTr="00365729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>rs964184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0.0003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0.0004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0.4998 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0.0010 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655C" w:rsidRPr="004B655C" w:rsidRDefault="004B655C" w:rsidP="004B655C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</w:pPr>
            <w:r w:rsidRPr="004B655C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n-NZ" w:eastAsia="en-US" w:bidi="ar"/>
              </w:rPr>
              <w:t xml:space="preserve">3648.6982 </w:t>
            </w:r>
          </w:p>
        </w:tc>
      </w:tr>
    </w:tbl>
    <w:p w:rsidR="004B655C" w:rsidRPr="004B655C" w:rsidRDefault="004B655C" w:rsidP="004B655C">
      <w:pPr>
        <w:widowControl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</w:pPr>
    </w:p>
    <w:p w:rsidR="004B655C" w:rsidRPr="004B655C" w:rsidRDefault="004B655C" w:rsidP="004B655C">
      <w:pPr>
        <w:widowControl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</w:pPr>
      <w:r w:rsidRPr="004B655C"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  <w:lastRenderedPageBreak/>
        <w:t xml:space="preserve">Note: </w:t>
      </w:r>
      <w:r w:rsidRPr="004B655C">
        <w:rPr>
          <w:rFonts w:ascii="Times New Roman" w:eastAsia="楷体" w:hAnsi="Times New Roman" w:cs="Times New Roman"/>
          <w:kern w:val="0"/>
          <w:sz w:val="20"/>
          <w:szCs w:val="20"/>
          <w:shd w:val="clear" w:color="auto" w:fill="FFFFFF"/>
          <w:lang w:val="en-NZ" w:eastAsia="en-US"/>
        </w:rPr>
        <w:t>SNP = single nucleotide polymorphism;</w:t>
      </w:r>
      <w:r w:rsidRPr="004B655C"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  <w:t xml:space="preserve"> β = beta coefficient; SE = standard error; R² = proportion of variance explained by the SNP in the exposure; F = F-statistic for instrument strength.</w:t>
      </w:r>
    </w:p>
    <w:p w:rsidR="004B655C" w:rsidRPr="004B655C" w:rsidRDefault="004B655C" w:rsidP="004B655C">
      <w:pPr>
        <w:widowControl/>
        <w:adjustRightInd w:val="0"/>
        <w:snapToGrid w:val="0"/>
        <w:spacing w:line="360" w:lineRule="auto"/>
        <w:rPr>
          <w:rFonts w:ascii="Times New Roman" w:eastAsia="楷体" w:hAnsi="Times New Roman" w:cs="Times New Roman"/>
          <w:kern w:val="0"/>
          <w:sz w:val="20"/>
          <w:szCs w:val="20"/>
          <w:shd w:val="clear" w:color="auto" w:fill="FFFFFF"/>
          <w:lang w:val="en-NZ" w:eastAsia="en-US"/>
        </w:rPr>
      </w:pPr>
    </w:p>
    <w:p w:rsidR="004B655C" w:rsidRPr="004B655C" w:rsidRDefault="004B655C" w:rsidP="004B655C">
      <w:pPr>
        <w:widowControl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 w:val="20"/>
          <w:szCs w:val="20"/>
          <w:lang w:val="en-NZ" w:eastAsia="en-US"/>
        </w:rPr>
      </w:pPr>
      <w:r w:rsidRPr="004B655C">
        <w:rPr>
          <w:rFonts w:ascii="Calibri" w:eastAsia="宋体" w:hAnsi="Calibri" w:cs="Times New Roman"/>
          <w:noProof/>
          <w:kern w:val="0"/>
          <w:sz w:val="22"/>
        </w:rPr>
        <w:drawing>
          <wp:inline distT="0" distB="0" distL="0" distR="0" wp14:anchorId="0F1ADA43" wp14:editId="1433F583">
            <wp:extent cx="6004800" cy="6267600"/>
            <wp:effectExtent l="0" t="0" r="0" b="0"/>
            <wp:docPr id="4" name="图片 4" descr="Figure_4_fan_d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Figure_4_fan_de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800" cy="62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55C" w:rsidRPr="004B655C" w:rsidRDefault="004B655C" w:rsidP="003F3C22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  <w:lang w:val="en-NZ" w:eastAsia="en-US"/>
        </w:rPr>
      </w:pPr>
    </w:p>
    <w:p w:rsidR="004B655C" w:rsidRPr="00CE5DA1" w:rsidRDefault="004B655C" w:rsidP="003F3C22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NZ" w:eastAsia="en-US"/>
        </w:rPr>
      </w:pPr>
      <w:r w:rsidRPr="004B655C">
        <w:rPr>
          <w:rFonts w:ascii="Times New Roman" w:eastAsia="宋体" w:hAnsi="Times New Roman" w:cs="Times New Roman"/>
          <w:b/>
          <w:kern w:val="0"/>
          <w:sz w:val="20"/>
          <w:szCs w:val="20"/>
          <w:lang w:val="en-NZ"/>
        </w:rPr>
        <w:t>Supplementary Figure 1.</w:t>
      </w:r>
      <w:r w:rsidRPr="003F3C22">
        <w:rPr>
          <w:rFonts w:ascii="Times New Roman" w:eastAsia="宋体" w:hAnsi="Times New Roman" w:cs="Times New Roman"/>
          <w:b/>
          <w:kern w:val="0"/>
          <w:sz w:val="20"/>
          <w:szCs w:val="20"/>
          <w:lang w:val="en-NZ"/>
        </w:rPr>
        <w:t xml:space="preserve"> Reverse MR analysis of the effect of genetic liability to depression on serum 25-hydroxyvitamin D [25(OH)D] levels.</w:t>
      </w:r>
      <w:r w:rsidR="003F3C22" w:rsidRPr="0050054D"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  <w:t xml:space="preserve"> </w:t>
      </w:r>
      <w:r w:rsidR="00D40FF4" w:rsidRPr="00D40FF4"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  <w:t>(A) Sensitivity analysis of causal effect estimates (OR, 95% CI) from five MR methods; (B) MR scatter plot of SNP effects and robustness checks including individual SNP forest plot and leave-one-out analysis.</w:t>
      </w:r>
      <w:r w:rsidR="00D40FF4"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  <w:t xml:space="preserve"> </w:t>
      </w:r>
      <w:r w:rsidR="00CE5DA1" w:rsidRPr="00CE5DA1">
        <w:rPr>
          <w:rFonts w:ascii="Times New Roman" w:eastAsia="宋体" w:hAnsi="Times New Roman" w:cs="Times New Roman"/>
          <w:kern w:val="0"/>
          <w:sz w:val="20"/>
          <w:szCs w:val="20"/>
          <w:lang w:val="en-NZ" w:eastAsia="en-US"/>
        </w:rPr>
        <w:t>Note: OR = Odds Ratio; CI = Confidence</w:t>
      </w:r>
      <w:r w:rsidR="00BD0DAF">
        <w:rPr>
          <w:rFonts w:ascii="Times New Roman" w:eastAsia="宋体" w:hAnsi="Times New Roman" w:cs="Times New Roman"/>
          <w:kern w:val="0"/>
          <w:sz w:val="20"/>
          <w:szCs w:val="20"/>
          <w:lang w:val="en-NZ" w:eastAsia="en-US"/>
        </w:rPr>
        <w:t xml:space="preserve"> Interval; se = Standard Error</w:t>
      </w:r>
      <w:r w:rsidR="00CE5DA1" w:rsidRPr="00CE5DA1">
        <w:rPr>
          <w:rFonts w:ascii="Times New Roman" w:eastAsia="宋体" w:hAnsi="Times New Roman" w:cs="Times New Roman"/>
          <w:kern w:val="0"/>
          <w:sz w:val="20"/>
          <w:szCs w:val="20"/>
          <w:lang w:val="en-NZ" w:eastAsia="en-US"/>
        </w:rPr>
        <w:t>.</w:t>
      </w:r>
    </w:p>
    <w:p w:rsidR="004B655C" w:rsidRPr="004B655C" w:rsidRDefault="004B655C" w:rsidP="004B655C">
      <w:pPr>
        <w:widowControl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 w:val="20"/>
          <w:szCs w:val="20"/>
          <w:lang w:val="en-NZ" w:eastAsia="en-US"/>
        </w:rPr>
      </w:pPr>
      <w:r w:rsidRPr="004B655C">
        <w:rPr>
          <w:rFonts w:ascii="Times New Roman" w:eastAsia="宋体" w:hAnsi="Times New Roman" w:cs="Times New Roman"/>
          <w:bCs/>
          <w:noProof/>
          <w:kern w:val="0"/>
          <w:sz w:val="22"/>
          <w:szCs w:val="21"/>
        </w:rPr>
        <w:lastRenderedPageBreak/>
        <w:drawing>
          <wp:inline distT="0" distB="0" distL="0" distR="0" wp14:anchorId="285E6CC5" wp14:editId="497F94A9">
            <wp:extent cx="6138000" cy="6040800"/>
            <wp:effectExtent l="0" t="0" r="0" b="0"/>
            <wp:docPr id="6" name="图片 6" descr="Figure_5_fan_an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Figure_5_fan_an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000" cy="60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55C" w:rsidRPr="00CE5DA1" w:rsidRDefault="004B655C" w:rsidP="003F3C22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NZ" w:eastAsia="en-US"/>
        </w:rPr>
      </w:pPr>
      <w:r w:rsidRPr="004B655C">
        <w:rPr>
          <w:rFonts w:ascii="Times New Roman" w:eastAsia="宋体" w:hAnsi="Times New Roman" w:cs="Times New Roman"/>
          <w:b/>
          <w:kern w:val="0"/>
          <w:sz w:val="20"/>
          <w:szCs w:val="20"/>
          <w:lang w:val="en-NZ"/>
        </w:rPr>
        <w:t>Supplementary Figure 2.</w:t>
      </w:r>
      <w:r w:rsidRPr="003F3C22">
        <w:rPr>
          <w:rFonts w:ascii="Times New Roman" w:eastAsia="宋体" w:hAnsi="Times New Roman" w:cs="Times New Roman"/>
          <w:b/>
          <w:kern w:val="0"/>
          <w:sz w:val="20"/>
          <w:szCs w:val="20"/>
          <w:lang w:val="en-NZ"/>
        </w:rPr>
        <w:t xml:space="preserve"> Reverse MR analysis of the effect of genetic liability to anxiety on serum 25-hydroxyvitamin D [25(OH)D] levels.</w:t>
      </w:r>
      <w:r w:rsidR="003F3C22" w:rsidRPr="00D40FF4"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  <w:t xml:space="preserve"> </w:t>
      </w:r>
      <w:r w:rsidR="00D40FF4" w:rsidRPr="00D40FF4">
        <w:rPr>
          <w:rFonts w:ascii="Times New Roman" w:eastAsia="宋体" w:hAnsi="Times New Roman" w:cs="Times New Roman"/>
          <w:kern w:val="0"/>
          <w:sz w:val="20"/>
          <w:szCs w:val="20"/>
          <w:lang w:val="en-NZ"/>
        </w:rPr>
        <w:t xml:space="preserve">(A) Sensitivity analysis of causal effect estimates (OR, 95% CI) from five MR methods; (B) MR scatter plot of SNP effects and robustness checks including individual SNP forest plot and leave-one-out analysis. </w:t>
      </w:r>
      <w:r w:rsidR="00CE5DA1" w:rsidRPr="00CE5DA1">
        <w:rPr>
          <w:rFonts w:ascii="Times New Roman" w:eastAsia="宋体" w:hAnsi="Times New Roman" w:cs="Times New Roman"/>
          <w:kern w:val="0"/>
          <w:sz w:val="20"/>
          <w:szCs w:val="20"/>
          <w:lang w:val="en-NZ" w:eastAsia="en-US"/>
        </w:rPr>
        <w:t>Note: OR = Odds Ratio; CI = Confidence Interval; se = Standard Error.</w:t>
      </w:r>
    </w:p>
    <w:p w:rsidR="004B655C" w:rsidRPr="003F3C22" w:rsidRDefault="004B655C" w:rsidP="004B655C">
      <w:pPr>
        <w:jc w:val="center"/>
        <w:rPr>
          <w:rFonts w:ascii="Times New Roman" w:hAnsi="Times New Roman" w:cs="Times New Roman"/>
          <w:sz w:val="30"/>
          <w:szCs w:val="30"/>
          <w:lang w:val="en-NZ"/>
        </w:rPr>
      </w:pPr>
      <w:bookmarkStart w:id="0" w:name="_GoBack"/>
      <w:bookmarkEnd w:id="0"/>
    </w:p>
    <w:sectPr w:rsidR="004B655C" w:rsidRPr="003F3C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EC3" w:rsidRDefault="00D75EC3" w:rsidP="004B655C">
      <w:r>
        <w:separator/>
      </w:r>
    </w:p>
  </w:endnote>
  <w:endnote w:type="continuationSeparator" w:id="0">
    <w:p w:rsidR="00D75EC3" w:rsidRDefault="00D75EC3" w:rsidP="004B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EC3" w:rsidRDefault="00D75EC3" w:rsidP="004B655C">
      <w:r>
        <w:separator/>
      </w:r>
    </w:p>
  </w:footnote>
  <w:footnote w:type="continuationSeparator" w:id="0">
    <w:p w:rsidR="00D75EC3" w:rsidRDefault="00D75EC3" w:rsidP="004B6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24741"/>
    <w:multiLevelType w:val="multilevel"/>
    <w:tmpl w:val="8FA4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CC7CB6"/>
    <w:multiLevelType w:val="multilevel"/>
    <w:tmpl w:val="3890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8AA"/>
    <w:rsid w:val="00037FA5"/>
    <w:rsid w:val="0012507F"/>
    <w:rsid w:val="002267D0"/>
    <w:rsid w:val="002E07DE"/>
    <w:rsid w:val="003F3C22"/>
    <w:rsid w:val="004B655C"/>
    <w:rsid w:val="0050054D"/>
    <w:rsid w:val="005054E6"/>
    <w:rsid w:val="005235F2"/>
    <w:rsid w:val="005F602E"/>
    <w:rsid w:val="00752047"/>
    <w:rsid w:val="007631A9"/>
    <w:rsid w:val="0083220D"/>
    <w:rsid w:val="008C7FFE"/>
    <w:rsid w:val="009A38AA"/>
    <w:rsid w:val="00BD0DAF"/>
    <w:rsid w:val="00CE5DA1"/>
    <w:rsid w:val="00D26E5A"/>
    <w:rsid w:val="00D40FF4"/>
    <w:rsid w:val="00D75EC3"/>
    <w:rsid w:val="00E0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B7FDF9"/>
  <w15:chartTrackingRefBased/>
  <w15:docId w15:val="{D083B664-79AE-4178-9F8D-927E3AF9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6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65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6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655C"/>
    <w:rPr>
      <w:sz w:val="18"/>
      <w:szCs w:val="18"/>
    </w:rPr>
  </w:style>
  <w:style w:type="character" w:styleId="a7">
    <w:name w:val="Strong"/>
    <w:basedOn w:val="a0"/>
    <w:uiPriority w:val="22"/>
    <w:qFormat/>
    <w:rsid w:val="004B655C"/>
    <w:rPr>
      <w:b/>
      <w:bCs/>
    </w:rPr>
  </w:style>
  <w:style w:type="paragraph" w:customStyle="1" w:styleId="ds-markdown-paragraph">
    <w:name w:val="ds-markdown-paragraph"/>
    <w:basedOn w:val="a"/>
    <w:rsid w:val="004B65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872</Words>
  <Characters>4973</Characters>
  <Application>Microsoft Office Word</Application>
  <DocSecurity>0</DocSecurity>
  <Lines>41</Lines>
  <Paragraphs>11</Paragraphs>
  <ScaleCrop>false</ScaleCrop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Author</cp:lastModifiedBy>
  <cp:revision>11</cp:revision>
  <dcterms:created xsi:type="dcterms:W3CDTF">2025-12-24T14:25:00Z</dcterms:created>
  <dcterms:modified xsi:type="dcterms:W3CDTF">2026-03-13T14:42:00Z</dcterms:modified>
</cp:coreProperties>
</file>